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CE61" w14:textId="14B6BEF5" w:rsidR="009150B3" w:rsidRDefault="009150B3">
      <w:pPr>
        <w:rPr>
          <w:szCs w:val="24"/>
        </w:rPr>
      </w:pPr>
    </w:p>
    <w:p w14:paraId="1BBBB87A" w14:textId="1A8A756A" w:rsidR="006647A3" w:rsidRPr="006647A3" w:rsidRDefault="006647A3" w:rsidP="006647A3">
      <w:pPr>
        <w:pStyle w:val="Heading1"/>
      </w:pPr>
      <w:bookmarkStart w:id="0" w:name="_Toc34638449"/>
      <w:r w:rsidRPr="006647A3">
        <w:t xml:space="preserve">Annex </w:t>
      </w:r>
      <w:r w:rsidRPr="006647A3">
        <w:t>B</w:t>
      </w:r>
      <w:r w:rsidRPr="006647A3">
        <w:t xml:space="preserve">: </w:t>
      </w:r>
      <w:bookmarkEnd w:id="0"/>
      <w:r w:rsidRPr="006647A3">
        <w:rPr>
          <w:b w:val="0"/>
          <w:bCs w:val="0"/>
        </w:rPr>
        <w:t xml:space="preserve">Impact Assessment for the Food Hygiene Rating </w:t>
      </w:r>
      <w:r w:rsidR="000D44C3">
        <w:rPr>
          <w:b w:val="0"/>
          <w:bCs w:val="0"/>
        </w:rPr>
        <w:t>(</w:t>
      </w:r>
      <w:r w:rsidRPr="006647A3">
        <w:rPr>
          <w:b w:val="0"/>
          <w:bCs w:val="0"/>
        </w:rPr>
        <w:t>Online Display</w:t>
      </w:r>
      <w:r w:rsidR="000D44C3">
        <w:rPr>
          <w:b w:val="0"/>
          <w:bCs w:val="0"/>
        </w:rPr>
        <w:t>)</w:t>
      </w:r>
      <w:r w:rsidRPr="006647A3">
        <w:rPr>
          <w:b w:val="0"/>
          <w:bCs w:val="0"/>
        </w:rPr>
        <w:t xml:space="preserve"> Regulations (Northern Ireland) 2023</w:t>
      </w:r>
    </w:p>
    <w:tbl>
      <w:tblPr>
        <w:tblStyle w:val="TableGrid"/>
        <w:tblpPr w:leftFromText="180" w:rightFromText="180" w:vertAnchor="page" w:horzAnchor="margin" w:tblpY="2041"/>
        <w:tblW w:w="0" w:type="auto"/>
        <w:tblLook w:val="01E0" w:firstRow="1" w:lastRow="1" w:firstColumn="1" w:lastColumn="1" w:noHBand="0" w:noVBand="0"/>
      </w:tblPr>
      <w:tblGrid>
        <w:gridCol w:w="3964"/>
        <w:gridCol w:w="6106"/>
      </w:tblGrid>
      <w:tr w:rsidR="006647A3" w14:paraId="793D34C1" w14:textId="77777777" w:rsidTr="006647A3">
        <w:trPr>
          <w:trHeight w:hRule="exact" w:val="662"/>
        </w:trPr>
        <w:tc>
          <w:tcPr>
            <w:tcW w:w="3964" w:type="dxa"/>
          </w:tcPr>
          <w:p w14:paraId="1076E147" w14:textId="77777777" w:rsidR="006647A3" w:rsidRPr="000863FE" w:rsidRDefault="006647A3" w:rsidP="006647A3">
            <w:pPr>
              <w:rPr>
                <w:b/>
                <w:szCs w:val="24"/>
              </w:rPr>
            </w:pPr>
            <w:r w:rsidRPr="000863FE">
              <w:rPr>
                <w:b/>
                <w:szCs w:val="24"/>
              </w:rPr>
              <w:t>Title:</w:t>
            </w:r>
          </w:p>
        </w:tc>
        <w:tc>
          <w:tcPr>
            <w:tcW w:w="6106" w:type="dxa"/>
          </w:tcPr>
          <w:p w14:paraId="3BAD0FA0" w14:textId="77777777" w:rsidR="006647A3" w:rsidRPr="000863FE" w:rsidRDefault="006647A3" w:rsidP="006647A3">
            <w:pPr>
              <w:rPr>
                <w:b/>
                <w:szCs w:val="24"/>
              </w:rPr>
            </w:pPr>
            <w:r w:rsidRPr="7577145D">
              <w:rPr>
                <w:b/>
              </w:rPr>
              <w:t>The Food Hygiene Rating (Online Display) Regulations (Northern Ireland) 202</w:t>
            </w:r>
            <w:r>
              <w:rPr>
                <w:b/>
              </w:rPr>
              <w:t>3</w:t>
            </w:r>
          </w:p>
        </w:tc>
      </w:tr>
      <w:tr w:rsidR="006647A3" w14:paraId="03F85507" w14:textId="77777777" w:rsidTr="006647A3">
        <w:trPr>
          <w:trHeight w:hRule="exact" w:val="480"/>
        </w:trPr>
        <w:tc>
          <w:tcPr>
            <w:tcW w:w="3964" w:type="dxa"/>
          </w:tcPr>
          <w:p w14:paraId="3C1DC2D4" w14:textId="77777777" w:rsidR="006647A3" w:rsidRPr="000863FE" w:rsidRDefault="006647A3" w:rsidP="006647A3">
            <w:pPr>
              <w:rPr>
                <w:b/>
                <w:szCs w:val="24"/>
              </w:rPr>
            </w:pPr>
            <w:r w:rsidRPr="000863FE">
              <w:rPr>
                <w:b/>
                <w:szCs w:val="24"/>
              </w:rPr>
              <w:t xml:space="preserve">Date: </w:t>
            </w:r>
          </w:p>
        </w:tc>
        <w:tc>
          <w:tcPr>
            <w:tcW w:w="6106" w:type="dxa"/>
          </w:tcPr>
          <w:p w14:paraId="5CC81C73" w14:textId="77777777" w:rsidR="006647A3" w:rsidRPr="000863FE" w:rsidRDefault="006647A3" w:rsidP="006647A3">
            <w:pPr>
              <w:rPr>
                <w:b/>
                <w:szCs w:val="24"/>
              </w:rPr>
            </w:pPr>
            <w:r>
              <w:rPr>
                <w:b/>
                <w:szCs w:val="24"/>
              </w:rPr>
              <w:t>16</w:t>
            </w:r>
            <w:r w:rsidRPr="000863FE">
              <w:rPr>
                <w:b/>
                <w:szCs w:val="24"/>
              </w:rPr>
              <w:t xml:space="preserve"> May 2022</w:t>
            </w:r>
          </w:p>
        </w:tc>
      </w:tr>
      <w:tr w:rsidR="006647A3" w14:paraId="30B91834" w14:textId="77777777" w:rsidTr="006647A3">
        <w:trPr>
          <w:trHeight w:hRule="exact" w:val="488"/>
        </w:trPr>
        <w:tc>
          <w:tcPr>
            <w:tcW w:w="3964" w:type="dxa"/>
          </w:tcPr>
          <w:p w14:paraId="68E29A93" w14:textId="77777777" w:rsidR="006647A3" w:rsidRPr="000863FE" w:rsidRDefault="006647A3" w:rsidP="006647A3">
            <w:pPr>
              <w:rPr>
                <w:b/>
                <w:szCs w:val="24"/>
              </w:rPr>
            </w:pPr>
            <w:r w:rsidRPr="00E91954">
              <w:rPr>
                <w:b/>
                <w:bCs/>
              </w:rPr>
              <w:t>Type of measure</w:t>
            </w:r>
          </w:p>
        </w:tc>
        <w:tc>
          <w:tcPr>
            <w:tcW w:w="6106" w:type="dxa"/>
          </w:tcPr>
          <w:p w14:paraId="5850D99C" w14:textId="77777777" w:rsidR="006647A3" w:rsidRPr="000863FE" w:rsidRDefault="006647A3" w:rsidP="006647A3">
            <w:pPr>
              <w:rPr>
                <w:b/>
                <w:szCs w:val="24"/>
              </w:rPr>
            </w:pPr>
            <w:r w:rsidRPr="00E91954">
              <w:t xml:space="preserve">Secondary </w:t>
            </w:r>
            <w:r w:rsidRPr="00C94AB0">
              <w:t>Legislation</w:t>
            </w:r>
          </w:p>
        </w:tc>
      </w:tr>
      <w:tr w:rsidR="006647A3" w14:paraId="57694473" w14:textId="77777777" w:rsidTr="006647A3">
        <w:trPr>
          <w:trHeight w:hRule="exact" w:val="468"/>
        </w:trPr>
        <w:tc>
          <w:tcPr>
            <w:tcW w:w="3964" w:type="dxa"/>
          </w:tcPr>
          <w:p w14:paraId="47E25742" w14:textId="77777777" w:rsidR="006647A3" w:rsidRPr="000863FE" w:rsidRDefault="006647A3" w:rsidP="006647A3">
            <w:pPr>
              <w:rPr>
                <w:b/>
                <w:szCs w:val="24"/>
              </w:rPr>
            </w:pPr>
            <w:r w:rsidRPr="000863FE">
              <w:rPr>
                <w:b/>
                <w:szCs w:val="24"/>
              </w:rPr>
              <w:t>Lead department or agency:</w:t>
            </w:r>
          </w:p>
          <w:p w14:paraId="513A6D0C" w14:textId="77777777" w:rsidR="006647A3" w:rsidRPr="000863FE" w:rsidRDefault="006647A3" w:rsidP="006647A3">
            <w:pPr>
              <w:rPr>
                <w:b/>
                <w:szCs w:val="24"/>
              </w:rPr>
            </w:pPr>
          </w:p>
        </w:tc>
        <w:tc>
          <w:tcPr>
            <w:tcW w:w="6106" w:type="dxa"/>
          </w:tcPr>
          <w:p w14:paraId="497638AE" w14:textId="77777777" w:rsidR="006647A3" w:rsidRPr="000863FE" w:rsidRDefault="006647A3" w:rsidP="006647A3">
            <w:pPr>
              <w:rPr>
                <w:b/>
                <w:szCs w:val="24"/>
              </w:rPr>
            </w:pPr>
            <w:r w:rsidRPr="000863FE">
              <w:rPr>
                <w:b/>
                <w:szCs w:val="24"/>
              </w:rPr>
              <w:t>Food Standards Agency</w:t>
            </w:r>
          </w:p>
        </w:tc>
      </w:tr>
      <w:tr w:rsidR="006647A3" w14:paraId="34823B4F" w14:textId="77777777" w:rsidTr="006647A3">
        <w:trPr>
          <w:trHeight w:hRule="exact" w:val="489"/>
        </w:trPr>
        <w:tc>
          <w:tcPr>
            <w:tcW w:w="3964" w:type="dxa"/>
          </w:tcPr>
          <w:p w14:paraId="7C73D66D" w14:textId="77777777" w:rsidR="006647A3" w:rsidRPr="000863FE" w:rsidRDefault="006647A3" w:rsidP="006647A3">
            <w:pPr>
              <w:rPr>
                <w:b/>
                <w:szCs w:val="24"/>
              </w:rPr>
            </w:pPr>
            <w:r w:rsidRPr="000863FE">
              <w:rPr>
                <w:b/>
                <w:szCs w:val="24"/>
              </w:rPr>
              <w:t>Stage:</w:t>
            </w:r>
          </w:p>
        </w:tc>
        <w:tc>
          <w:tcPr>
            <w:tcW w:w="6106" w:type="dxa"/>
          </w:tcPr>
          <w:p w14:paraId="02F60DF6" w14:textId="77777777" w:rsidR="006647A3" w:rsidRPr="00704C19" w:rsidRDefault="006647A3" w:rsidP="006647A3">
            <w:r w:rsidRPr="00704C19">
              <w:fldChar w:fldCharType="begin">
                <w:ffData>
                  <w:name w:val="Dropdown2"/>
                  <w:enabled/>
                  <w:calcOnExit w:val="0"/>
                  <w:ddList>
                    <w:listEntry w:val="Initial"/>
                    <w:listEntry w:val="Development"/>
                    <w:listEntry w:val="Final draft"/>
                    <w:listEntry w:val="Enacted"/>
                  </w:ddList>
                </w:ffData>
              </w:fldChar>
            </w:r>
            <w:r w:rsidRPr="00704C19">
              <w:instrText xml:space="preserve"> FORMDROPDOWN </w:instrText>
            </w:r>
            <w:r w:rsidRPr="00704C19">
              <w:fldChar w:fldCharType="separate"/>
            </w:r>
            <w:r w:rsidRPr="00704C19">
              <w:fldChar w:fldCharType="end"/>
            </w:r>
          </w:p>
        </w:tc>
      </w:tr>
      <w:tr w:rsidR="006647A3" w14:paraId="270F1DC9" w14:textId="77777777" w:rsidTr="006647A3">
        <w:trPr>
          <w:trHeight w:hRule="exact" w:val="727"/>
        </w:trPr>
        <w:tc>
          <w:tcPr>
            <w:tcW w:w="3964" w:type="dxa"/>
          </w:tcPr>
          <w:p w14:paraId="032A0E3C" w14:textId="77777777" w:rsidR="006647A3" w:rsidRPr="000863FE" w:rsidRDefault="006647A3" w:rsidP="006647A3">
            <w:pPr>
              <w:rPr>
                <w:b/>
                <w:szCs w:val="24"/>
              </w:rPr>
            </w:pPr>
            <w:r w:rsidRPr="000863FE">
              <w:rPr>
                <w:b/>
                <w:szCs w:val="24"/>
              </w:rPr>
              <w:t>Source of intervention:</w:t>
            </w:r>
          </w:p>
        </w:tc>
        <w:tc>
          <w:tcPr>
            <w:tcW w:w="6106" w:type="dxa"/>
          </w:tcPr>
          <w:p w14:paraId="7F70D7AE" w14:textId="77777777" w:rsidR="006647A3" w:rsidRPr="00704C19" w:rsidRDefault="006647A3" w:rsidP="006647A3">
            <w:r w:rsidRPr="00704C19">
              <w:fldChar w:fldCharType="begin">
                <w:ffData>
                  <w:name w:val="Dropdown3"/>
                  <w:enabled/>
                  <w:calcOnExit w:val="0"/>
                  <w:ddList>
                    <w:listEntry w:val="Domestic NI"/>
                    <w:listEntry w:val="UK"/>
                    <w:listEntry w:val="EU"/>
                    <w:listEntry w:val="International"/>
                  </w:ddList>
                </w:ffData>
              </w:fldChar>
            </w:r>
            <w:r w:rsidRPr="00704C19">
              <w:instrText xml:space="preserve"> FORMDROPDOWN </w:instrText>
            </w:r>
            <w:r w:rsidRPr="00704C19">
              <w:fldChar w:fldCharType="separate"/>
            </w:r>
            <w:r w:rsidRPr="00704C19">
              <w:fldChar w:fldCharType="end"/>
            </w:r>
          </w:p>
        </w:tc>
      </w:tr>
      <w:tr w:rsidR="006647A3" w14:paraId="46AF4392" w14:textId="77777777" w:rsidTr="006647A3">
        <w:trPr>
          <w:trHeight w:hRule="exact" w:val="727"/>
        </w:trPr>
        <w:tc>
          <w:tcPr>
            <w:tcW w:w="3964" w:type="dxa"/>
          </w:tcPr>
          <w:p w14:paraId="09F65DE6" w14:textId="77777777" w:rsidR="006647A3" w:rsidRPr="000863FE" w:rsidRDefault="006647A3" w:rsidP="006647A3">
            <w:pPr>
              <w:rPr>
                <w:b/>
                <w:szCs w:val="24"/>
              </w:rPr>
            </w:pPr>
            <w:r w:rsidRPr="000863FE">
              <w:rPr>
                <w:b/>
                <w:szCs w:val="24"/>
              </w:rPr>
              <w:t>Other departments or agencies:</w:t>
            </w:r>
          </w:p>
          <w:p w14:paraId="4B7CE4AB" w14:textId="77777777" w:rsidR="006647A3" w:rsidRPr="000863FE" w:rsidRDefault="006647A3" w:rsidP="006647A3">
            <w:pPr>
              <w:rPr>
                <w:szCs w:val="24"/>
              </w:rPr>
            </w:pPr>
            <w:r w:rsidRPr="000863FE">
              <w:rPr>
                <w:b/>
                <w:szCs w:val="24"/>
              </w:rPr>
              <w:t>N/A</w:t>
            </w:r>
          </w:p>
        </w:tc>
        <w:tc>
          <w:tcPr>
            <w:tcW w:w="6106" w:type="dxa"/>
          </w:tcPr>
          <w:p w14:paraId="115D6318" w14:textId="77777777" w:rsidR="006647A3" w:rsidRPr="000863FE" w:rsidRDefault="006647A3" w:rsidP="006647A3">
            <w:pPr>
              <w:rPr>
                <w:szCs w:val="24"/>
              </w:rPr>
            </w:pPr>
            <w:r w:rsidRPr="000863FE">
              <w:rPr>
                <w:b/>
                <w:szCs w:val="24"/>
              </w:rPr>
              <w:t xml:space="preserve">Contact details: </w:t>
            </w:r>
            <w:r w:rsidRPr="000863FE">
              <w:rPr>
                <w:szCs w:val="24"/>
              </w:rPr>
              <w:t>Una Campbell, Ryan Peake-Smith, Eirini Petratou</w:t>
            </w:r>
          </w:p>
        </w:tc>
      </w:tr>
      <w:tr w:rsidR="006647A3" w14:paraId="6ECC2C97" w14:textId="77777777" w:rsidTr="006647A3">
        <w:trPr>
          <w:trHeight w:hRule="exact" w:val="357"/>
        </w:trPr>
        <w:tc>
          <w:tcPr>
            <w:tcW w:w="3964" w:type="dxa"/>
          </w:tcPr>
          <w:p w14:paraId="4CC00630" w14:textId="77777777" w:rsidR="006647A3" w:rsidRPr="000863FE" w:rsidRDefault="006647A3" w:rsidP="006647A3">
            <w:pPr>
              <w:rPr>
                <w:szCs w:val="24"/>
              </w:rPr>
            </w:pPr>
          </w:p>
        </w:tc>
        <w:tc>
          <w:tcPr>
            <w:tcW w:w="6106" w:type="dxa"/>
          </w:tcPr>
          <w:p w14:paraId="7DBA4A95" w14:textId="77777777" w:rsidR="006647A3" w:rsidRPr="000863FE" w:rsidRDefault="006647A3" w:rsidP="006647A3">
            <w:pPr>
              <w:rPr>
                <w:szCs w:val="24"/>
              </w:rPr>
            </w:pPr>
            <w:r w:rsidRPr="000863FE">
              <w:rPr>
                <w:szCs w:val="24"/>
              </w:rPr>
              <w:t>Una.campbell@food.gov.uk</w:t>
            </w:r>
          </w:p>
        </w:tc>
      </w:tr>
      <w:tr w:rsidR="006647A3" w14:paraId="103442AA" w14:textId="77777777" w:rsidTr="006647A3">
        <w:trPr>
          <w:trHeight w:hRule="exact" w:val="357"/>
        </w:trPr>
        <w:tc>
          <w:tcPr>
            <w:tcW w:w="3964" w:type="dxa"/>
          </w:tcPr>
          <w:p w14:paraId="29D77D71" w14:textId="77777777" w:rsidR="006647A3" w:rsidRPr="000863FE" w:rsidRDefault="006647A3" w:rsidP="006647A3">
            <w:pPr>
              <w:rPr>
                <w:szCs w:val="24"/>
              </w:rPr>
            </w:pPr>
          </w:p>
        </w:tc>
        <w:tc>
          <w:tcPr>
            <w:tcW w:w="6106" w:type="dxa"/>
          </w:tcPr>
          <w:p w14:paraId="4AF410C5" w14:textId="77777777" w:rsidR="006647A3" w:rsidRPr="000863FE" w:rsidRDefault="006647A3" w:rsidP="006647A3">
            <w:pPr>
              <w:rPr>
                <w:szCs w:val="24"/>
              </w:rPr>
            </w:pPr>
            <w:hyperlink r:id="rId11" w:history="1">
              <w:r w:rsidRPr="000863FE">
                <w:rPr>
                  <w:rStyle w:val="Hyperlink"/>
                  <w:rFonts w:cs="Arial"/>
                  <w:szCs w:val="24"/>
                </w:rPr>
                <w:t>Ryan.peake-smith@food.gov.uk</w:t>
              </w:r>
            </w:hyperlink>
          </w:p>
        </w:tc>
      </w:tr>
      <w:tr w:rsidR="006647A3" w14:paraId="2E8FECBE" w14:textId="77777777" w:rsidTr="006647A3">
        <w:trPr>
          <w:trHeight w:hRule="exact" w:val="453"/>
        </w:trPr>
        <w:tc>
          <w:tcPr>
            <w:tcW w:w="3964" w:type="dxa"/>
          </w:tcPr>
          <w:p w14:paraId="3FEE3937" w14:textId="77777777" w:rsidR="006647A3" w:rsidRPr="000863FE" w:rsidRDefault="006647A3" w:rsidP="006647A3">
            <w:pPr>
              <w:rPr>
                <w:szCs w:val="24"/>
              </w:rPr>
            </w:pPr>
          </w:p>
        </w:tc>
        <w:tc>
          <w:tcPr>
            <w:tcW w:w="6106" w:type="dxa"/>
          </w:tcPr>
          <w:p w14:paraId="3115DB6F" w14:textId="77777777" w:rsidR="006647A3" w:rsidRPr="000863FE" w:rsidRDefault="006647A3" w:rsidP="006647A3">
            <w:pPr>
              <w:rPr>
                <w:szCs w:val="24"/>
              </w:rPr>
            </w:pPr>
            <w:r w:rsidRPr="000863FE">
              <w:rPr>
                <w:szCs w:val="24"/>
              </w:rPr>
              <w:t>Eirini.petratou@food.gov.uk</w:t>
            </w:r>
          </w:p>
        </w:tc>
      </w:tr>
    </w:tbl>
    <w:p w14:paraId="4593A7FA" w14:textId="4C9FFA8A" w:rsidR="006647A3" w:rsidRDefault="006647A3">
      <w:pPr>
        <w:rPr>
          <w:szCs w:val="24"/>
        </w:rPr>
      </w:pPr>
    </w:p>
    <w:p w14:paraId="5D343807" w14:textId="2FE25359" w:rsidR="00AE6D20" w:rsidRPr="006647A3" w:rsidRDefault="00AE6D20" w:rsidP="006647A3">
      <w:pPr>
        <w:pStyle w:val="Heading2"/>
        <w:rPr>
          <w:bCs w:val="0"/>
        </w:rPr>
      </w:pPr>
      <w:r w:rsidRPr="006647A3">
        <w:rPr>
          <w:bCs w:val="0"/>
        </w:rPr>
        <w:t>Summary Intervention and Options</w:t>
      </w:r>
    </w:p>
    <w:p w14:paraId="18A45BE5" w14:textId="77777777" w:rsidR="006647A3" w:rsidRPr="000863FE" w:rsidRDefault="006647A3">
      <w:pPr>
        <w:rPr>
          <w:b/>
          <w:szCs w:val="24"/>
        </w:rPr>
      </w:pPr>
    </w:p>
    <w:tbl>
      <w:tblPr>
        <w:tblStyle w:val="TableGrid"/>
        <w:tblW w:w="10296" w:type="dxa"/>
        <w:tblLayout w:type="fixed"/>
        <w:tblLook w:val="01E0" w:firstRow="1" w:lastRow="1" w:firstColumn="1" w:lastColumn="1" w:noHBand="0" w:noVBand="0"/>
      </w:tblPr>
      <w:tblGrid>
        <w:gridCol w:w="10296"/>
      </w:tblGrid>
      <w:tr w:rsidR="00AE6D20" w14:paraId="42199627" w14:textId="77777777" w:rsidTr="00704C19">
        <w:trPr>
          <w:trHeight w:hRule="exact" w:val="4024"/>
        </w:trPr>
        <w:tc>
          <w:tcPr>
            <w:tcW w:w="10296" w:type="dxa"/>
          </w:tcPr>
          <w:p w14:paraId="09AF4021" w14:textId="7D385578" w:rsidR="00AE6D20" w:rsidRDefault="00AE6D20">
            <w:r w:rsidRPr="27FD8C29">
              <w:rPr>
                <w:b/>
              </w:rPr>
              <w:t>What is the problem under consideration?  Why is government intervention necessary?</w:t>
            </w:r>
            <w:r w:rsidR="00E3724A" w:rsidRPr="27FD8C29">
              <w:rPr>
                <w:b/>
              </w:rPr>
              <w:t xml:space="preserve"> </w:t>
            </w:r>
            <w:r w:rsidR="00E3724A">
              <w:t>(7 lines maximum)</w:t>
            </w:r>
          </w:p>
          <w:p w14:paraId="040B571D" w14:textId="03F023D0" w:rsidR="0072504E" w:rsidRPr="000863FE" w:rsidRDefault="00F52D11" w:rsidP="0072504E">
            <w:pPr>
              <w:rPr>
                <w:b/>
              </w:rPr>
            </w:pPr>
            <w:r w:rsidRPr="27FD8C29">
              <w:rPr>
                <w:rFonts w:eastAsia="Arial"/>
                <w:szCs w:val="24"/>
              </w:rPr>
              <w:t>The Food Hygiene Rating Act (Northern Ireland</w:t>
            </w:r>
            <w:r w:rsidR="005460CB" w:rsidRPr="27FD8C29">
              <w:rPr>
                <w:rFonts w:eastAsia="Arial"/>
                <w:szCs w:val="24"/>
              </w:rPr>
              <w:t>)</w:t>
            </w:r>
            <w:r w:rsidRPr="27FD8C29">
              <w:rPr>
                <w:rFonts w:eastAsia="Arial"/>
                <w:szCs w:val="24"/>
              </w:rPr>
              <w:t xml:space="preserve"> 2016</w:t>
            </w:r>
            <w:r w:rsidR="00EC0D35" w:rsidRPr="27FD8C29">
              <w:rPr>
                <w:rFonts w:eastAsia="Arial"/>
                <w:szCs w:val="24"/>
              </w:rPr>
              <w:t xml:space="preserve"> </w:t>
            </w:r>
            <w:r w:rsidR="27FD8C29" w:rsidRPr="27FD8C29">
              <w:rPr>
                <w:rFonts w:eastAsia="Arial"/>
                <w:szCs w:val="24"/>
              </w:rPr>
              <w:t xml:space="preserve">(the Act) </w:t>
            </w:r>
            <w:r w:rsidR="00EC0D35" w:rsidRPr="27FD8C29">
              <w:rPr>
                <w:rFonts w:eastAsia="Arial"/>
                <w:szCs w:val="24"/>
              </w:rPr>
              <w:t xml:space="preserve">introduced a statutory food hygiene rating scheme </w:t>
            </w:r>
            <w:r w:rsidR="27FD8C29" w:rsidRPr="27FD8C29">
              <w:rPr>
                <w:rFonts w:eastAsia="Arial"/>
                <w:szCs w:val="24"/>
              </w:rPr>
              <w:t xml:space="preserve">in Northern Ireland. The </w:t>
            </w:r>
            <w:r w:rsidR="002F1C45" w:rsidRPr="27FD8C29">
              <w:rPr>
                <w:rFonts w:eastAsia="Arial"/>
                <w:szCs w:val="24"/>
              </w:rPr>
              <w:t xml:space="preserve">legislation </w:t>
            </w:r>
            <w:r w:rsidR="27FD8C29" w:rsidRPr="27FD8C29">
              <w:rPr>
                <w:rFonts w:eastAsia="Arial"/>
                <w:szCs w:val="24"/>
              </w:rPr>
              <w:t>includes provisions which make it</w:t>
            </w:r>
            <w:r w:rsidR="002F1C45" w:rsidRPr="27FD8C29">
              <w:rPr>
                <w:rFonts w:eastAsia="Arial"/>
                <w:szCs w:val="24"/>
              </w:rPr>
              <w:t xml:space="preserve"> mandatory </w:t>
            </w:r>
            <w:r w:rsidR="27FD8C29" w:rsidRPr="27FD8C29">
              <w:rPr>
                <w:rFonts w:eastAsia="Arial"/>
                <w:szCs w:val="24"/>
              </w:rPr>
              <w:t xml:space="preserve">for </w:t>
            </w:r>
            <w:r w:rsidR="00F975F4" w:rsidRPr="27FD8C29">
              <w:rPr>
                <w:rFonts w:eastAsia="Arial"/>
                <w:szCs w:val="24"/>
              </w:rPr>
              <w:t xml:space="preserve">food </w:t>
            </w:r>
            <w:r w:rsidR="27FD8C29" w:rsidRPr="27FD8C29">
              <w:rPr>
                <w:rFonts w:eastAsia="Arial"/>
                <w:szCs w:val="24"/>
              </w:rPr>
              <w:t>businesses</w:t>
            </w:r>
            <w:r w:rsidR="009C4E55" w:rsidRPr="27FD8C29">
              <w:rPr>
                <w:rFonts w:eastAsia="Arial"/>
                <w:szCs w:val="24"/>
              </w:rPr>
              <w:t xml:space="preserve"> to </w:t>
            </w:r>
            <w:r w:rsidR="27FD8C29" w:rsidRPr="27FD8C29">
              <w:rPr>
                <w:rFonts w:eastAsia="Arial"/>
                <w:szCs w:val="24"/>
              </w:rPr>
              <w:t>display food hygiene rating stickers at their premises and, if consumers can order online, to display their rating online in a specified manner. Secondary legislation has been implemented to require the display at physical establishments however not online; this will require a separate piece of legislation. Without this legislation</w:t>
            </w:r>
            <w:r w:rsidR="00887624">
              <w:t xml:space="preserve"> </w:t>
            </w:r>
            <w:r w:rsidR="009C4E55">
              <w:t>there exists an</w:t>
            </w:r>
            <w:r w:rsidR="001644BB">
              <w:t xml:space="preserve"> </w:t>
            </w:r>
            <w:r w:rsidR="00CB4F08">
              <w:t xml:space="preserve">asymmetry of </w:t>
            </w:r>
            <w:r w:rsidR="001644BB">
              <w:t xml:space="preserve">information </w:t>
            </w:r>
            <w:r w:rsidR="00CB4F08">
              <w:t xml:space="preserve">available </w:t>
            </w:r>
            <w:r w:rsidR="001644BB">
              <w:t>relating to</w:t>
            </w:r>
            <w:r w:rsidR="00D574B7">
              <w:t xml:space="preserve"> </w:t>
            </w:r>
            <w:r w:rsidR="00DE7EAB">
              <w:t>a</w:t>
            </w:r>
            <w:r w:rsidR="00D574B7">
              <w:t xml:space="preserve"> business’</w:t>
            </w:r>
            <w:r w:rsidR="001644BB">
              <w:t xml:space="preserve"> food hygiene com</w:t>
            </w:r>
            <w:r w:rsidR="00071216">
              <w:t>pliance</w:t>
            </w:r>
            <w:r w:rsidR="002004D8">
              <w:t>,</w:t>
            </w:r>
            <w:r w:rsidR="00901927">
              <w:t xml:space="preserve"> </w:t>
            </w:r>
            <w:r w:rsidR="00A74568">
              <w:t>therefore increasing</w:t>
            </w:r>
            <w:r w:rsidR="00ED1CE1">
              <w:t xml:space="preserve"> consumers’</w:t>
            </w:r>
            <w:r w:rsidR="00901927">
              <w:t xml:space="preserve"> risk of </w:t>
            </w:r>
            <w:r w:rsidR="00F32CCE">
              <w:t xml:space="preserve">illness attributed to </w:t>
            </w:r>
            <w:r w:rsidR="00901927">
              <w:t>foodborne disease</w:t>
            </w:r>
            <w:r w:rsidR="00071216">
              <w:t xml:space="preserve">. </w:t>
            </w:r>
            <w:r w:rsidR="00D574B7">
              <w:t>This absence of accountability to consumers</w:t>
            </w:r>
            <w:r w:rsidR="00071216">
              <w:t xml:space="preserve"> also</w:t>
            </w:r>
            <w:r w:rsidR="002004D8" w:rsidDel="00071216">
              <w:t xml:space="preserve"> </w:t>
            </w:r>
            <w:r w:rsidR="002004D8">
              <w:t xml:space="preserve">limits </w:t>
            </w:r>
            <w:r w:rsidR="00DE7EAB">
              <w:t xml:space="preserve">compliance </w:t>
            </w:r>
            <w:r w:rsidR="008F2284">
              <w:t>incentives</w:t>
            </w:r>
            <w:r w:rsidR="007D3D48">
              <w:t xml:space="preserve"> </w:t>
            </w:r>
            <w:r w:rsidR="00C33CC8">
              <w:t>for businesses</w:t>
            </w:r>
            <w:r w:rsidR="002F5504">
              <w:t>,</w:t>
            </w:r>
            <w:r w:rsidR="00821DFA">
              <w:t xml:space="preserve"> exacerbating regulatory burdens</w:t>
            </w:r>
            <w:r w:rsidR="003304D1">
              <w:t xml:space="preserve">. Secondary legislation mandating </w:t>
            </w:r>
            <w:r w:rsidR="002E397E">
              <w:t>online</w:t>
            </w:r>
            <w:r w:rsidR="003304D1">
              <w:t xml:space="preserve"> display of </w:t>
            </w:r>
            <w:r w:rsidR="00B54259">
              <w:t>food hygiene ratings</w:t>
            </w:r>
            <w:r w:rsidR="00310F98">
              <w:t xml:space="preserve"> (</w:t>
            </w:r>
            <w:r w:rsidR="003304D1">
              <w:t>FHR</w:t>
            </w:r>
            <w:r w:rsidR="00A442F7">
              <w:t>s</w:t>
            </w:r>
            <w:r w:rsidR="00310F98">
              <w:t>)</w:t>
            </w:r>
            <w:r w:rsidR="003304D1">
              <w:t xml:space="preserve"> </w:t>
            </w:r>
            <w:r w:rsidR="004A6091">
              <w:t>w</w:t>
            </w:r>
            <w:r w:rsidR="001B340E">
              <w:t>ill c</w:t>
            </w:r>
            <w:r w:rsidR="005E25DA">
              <w:t>orrect these market failures</w:t>
            </w:r>
            <w:r w:rsidR="001B340E">
              <w:t xml:space="preserve"> and ensure the scheme delive</w:t>
            </w:r>
            <w:r w:rsidR="007F0203">
              <w:t>r</w:t>
            </w:r>
            <w:r w:rsidR="00070F84">
              <w:t>s</w:t>
            </w:r>
            <w:r w:rsidR="007F0203">
              <w:t xml:space="preserve"> its intended benefits in all settings</w:t>
            </w:r>
            <w:r w:rsidR="007D3D48">
              <w:t>.</w:t>
            </w:r>
          </w:p>
        </w:tc>
      </w:tr>
      <w:tr w:rsidR="00AE6D20" w14:paraId="0AEAF8D6" w14:textId="77777777" w:rsidTr="00704C19">
        <w:trPr>
          <w:trHeight w:hRule="exact" w:val="2824"/>
        </w:trPr>
        <w:tc>
          <w:tcPr>
            <w:tcW w:w="10296" w:type="dxa"/>
          </w:tcPr>
          <w:p w14:paraId="108E590A" w14:textId="77777777" w:rsidR="00AE6D20" w:rsidRPr="000863FE" w:rsidRDefault="0072504E">
            <w:pPr>
              <w:rPr>
                <w:b/>
                <w:szCs w:val="24"/>
              </w:rPr>
            </w:pPr>
            <w:r w:rsidRPr="000863FE">
              <w:rPr>
                <w:b/>
                <w:szCs w:val="24"/>
              </w:rPr>
              <w:t>What are the policy objectives and the intended effects?</w:t>
            </w:r>
            <w:r w:rsidR="00E3724A" w:rsidRPr="000863FE">
              <w:rPr>
                <w:b/>
                <w:szCs w:val="24"/>
              </w:rPr>
              <w:t xml:space="preserve"> </w:t>
            </w:r>
            <w:r w:rsidR="00E3724A" w:rsidRPr="000863FE">
              <w:rPr>
                <w:szCs w:val="24"/>
              </w:rPr>
              <w:t>(7 lines maximum)</w:t>
            </w:r>
          </w:p>
          <w:p w14:paraId="3FFA9320" w14:textId="43FBFB72" w:rsidR="0072504E" w:rsidRPr="000863FE" w:rsidRDefault="00A30994" w:rsidP="0072504E">
            <w:pPr>
              <w:rPr>
                <w:szCs w:val="24"/>
              </w:rPr>
            </w:pPr>
            <w:r w:rsidRPr="000863FE">
              <w:rPr>
                <w:szCs w:val="24"/>
              </w:rPr>
              <w:t>The policy aims to</w:t>
            </w:r>
            <w:r w:rsidR="001E3DE7" w:rsidRPr="000863FE">
              <w:rPr>
                <w:szCs w:val="24"/>
              </w:rPr>
              <w:t xml:space="preserve"> ensure the effective operation of </w:t>
            </w:r>
            <w:r w:rsidR="00197B28" w:rsidRPr="000863FE">
              <w:rPr>
                <w:szCs w:val="24"/>
              </w:rPr>
              <w:t xml:space="preserve">the statutory food hygiene rating scheme in Northern Ireland with regards to the online display provision, allowing </w:t>
            </w:r>
            <w:r w:rsidR="0010611F" w:rsidRPr="000863FE">
              <w:rPr>
                <w:szCs w:val="24"/>
              </w:rPr>
              <w:t xml:space="preserve">the full scope of the Food Hygiene Rating Act (Northern Ireland) 2016 to be </w:t>
            </w:r>
            <w:r w:rsidR="00A32542" w:rsidRPr="000863FE">
              <w:rPr>
                <w:szCs w:val="24"/>
              </w:rPr>
              <w:t>implemented</w:t>
            </w:r>
            <w:r w:rsidR="00310999">
              <w:rPr>
                <w:szCs w:val="24"/>
              </w:rPr>
              <w:t xml:space="preserve"> and </w:t>
            </w:r>
            <w:r w:rsidR="00597602">
              <w:rPr>
                <w:szCs w:val="24"/>
              </w:rPr>
              <w:t>fulfil</w:t>
            </w:r>
            <w:r w:rsidR="00310999">
              <w:rPr>
                <w:szCs w:val="24"/>
              </w:rPr>
              <w:t xml:space="preserve"> the request of the NI Assembly Health Committee</w:t>
            </w:r>
            <w:r w:rsidR="00A32542" w:rsidRPr="000863FE">
              <w:rPr>
                <w:szCs w:val="24"/>
              </w:rPr>
              <w:t xml:space="preserve">. </w:t>
            </w:r>
            <w:r w:rsidR="008C0A46" w:rsidRPr="000863FE">
              <w:rPr>
                <w:szCs w:val="24"/>
              </w:rPr>
              <w:t>This will ensure consumers can make informed c</w:t>
            </w:r>
            <w:r w:rsidR="00880512" w:rsidRPr="000863FE">
              <w:rPr>
                <w:szCs w:val="24"/>
              </w:rPr>
              <w:t>hoices in all food ordering settings,</w:t>
            </w:r>
            <w:r w:rsidR="00107D34" w:rsidRPr="000863FE">
              <w:rPr>
                <w:szCs w:val="24"/>
              </w:rPr>
              <w:t xml:space="preserve"> unlocking a number of benefits to </w:t>
            </w:r>
            <w:r w:rsidR="006E4920" w:rsidRPr="000863FE">
              <w:rPr>
                <w:szCs w:val="24"/>
              </w:rPr>
              <w:t>various stakeholder groups. These include</w:t>
            </w:r>
            <w:r w:rsidR="005C69F8" w:rsidRPr="000863FE">
              <w:rPr>
                <w:szCs w:val="24"/>
              </w:rPr>
              <w:t xml:space="preserve"> improved public health and reduced public health burden</w:t>
            </w:r>
            <w:r w:rsidR="009A52F8" w:rsidRPr="000863FE">
              <w:rPr>
                <w:szCs w:val="24"/>
              </w:rPr>
              <w:t xml:space="preserve"> on health services due</w:t>
            </w:r>
            <w:r w:rsidR="006E4920" w:rsidRPr="000863FE">
              <w:rPr>
                <w:szCs w:val="24"/>
              </w:rPr>
              <w:t xml:space="preserve"> the reduced prevalence of foodborne disease</w:t>
            </w:r>
            <w:r w:rsidR="000E3214" w:rsidRPr="000863FE">
              <w:rPr>
                <w:szCs w:val="24"/>
              </w:rPr>
              <w:t xml:space="preserve">, reduced regulatory burden on the FSA and </w:t>
            </w:r>
            <w:r w:rsidR="00976235" w:rsidRPr="000863FE">
              <w:rPr>
                <w:szCs w:val="24"/>
              </w:rPr>
              <w:t>d</w:t>
            </w:r>
            <w:r w:rsidR="000E3214" w:rsidRPr="000863FE">
              <w:rPr>
                <w:szCs w:val="24"/>
              </w:rPr>
              <w:t xml:space="preserve">istrict </w:t>
            </w:r>
            <w:r w:rsidR="00976235" w:rsidRPr="000863FE">
              <w:rPr>
                <w:szCs w:val="24"/>
              </w:rPr>
              <w:t>c</w:t>
            </w:r>
            <w:r w:rsidR="000E3214" w:rsidRPr="000863FE">
              <w:rPr>
                <w:szCs w:val="24"/>
              </w:rPr>
              <w:t>ouncils</w:t>
            </w:r>
            <w:r w:rsidR="009A52F8" w:rsidRPr="000863FE">
              <w:rPr>
                <w:szCs w:val="24"/>
              </w:rPr>
              <w:t xml:space="preserve">, and </w:t>
            </w:r>
            <w:r w:rsidR="00635236" w:rsidRPr="000863FE">
              <w:rPr>
                <w:szCs w:val="24"/>
              </w:rPr>
              <w:t xml:space="preserve">reduced burden of inspections on businesses as </w:t>
            </w:r>
            <w:r w:rsidR="00713038" w:rsidRPr="000863FE">
              <w:rPr>
                <w:szCs w:val="24"/>
              </w:rPr>
              <w:t>demonstrated compliance improves.</w:t>
            </w:r>
            <w:r w:rsidR="00E1524A" w:rsidRPr="000863FE">
              <w:rPr>
                <w:szCs w:val="24"/>
              </w:rPr>
              <w:t xml:space="preserve"> </w:t>
            </w:r>
          </w:p>
        </w:tc>
      </w:tr>
      <w:tr w:rsidR="00AE6D20" w14:paraId="1B9DD394" w14:textId="77777777" w:rsidTr="00704C19">
        <w:trPr>
          <w:trHeight w:hRule="exact" w:val="4574"/>
        </w:trPr>
        <w:tc>
          <w:tcPr>
            <w:tcW w:w="10296" w:type="dxa"/>
          </w:tcPr>
          <w:p w14:paraId="287C5CE0" w14:textId="77777777" w:rsidR="00AE6D20" w:rsidRPr="000863FE" w:rsidRDefault="0072504E">
            <w:pPr>
              <w:rPr>
                <w:szCs w:val="24"/>
              </w:rPr>
            </w:pPr>
            <w:r w:rsidRPr="000863FE">
              <w:rPr>
                <w:b/>
                <w:szCs w:val="24"/>
              </w:rPr>
              <w:lastRenderedPageBreak/>
              <w:t>What policy options have been considered, including any alternatives to regulation?  Please justify preferred option (further details in Evidence Base)</w:t>
            </w:r>
            <w:r w:rsidR="00E3724A" w:rsidRPr="000863FE">
              <w:rPr>
                <w:b/>
                <w:szCs w:val="24"/>
              </w:rPr>
              <w:t xml:space="preserve"> </w:t>
            </w:r>
            <w:r w:rsidR="00E3724A" w:rsidRPr="000863FE">
              <w:rPr>
                <w:szCs w:val="24"/>
              </w:rPr>
              <w:t>(10 lines maximum)</w:t>
            </w:r>
          </w:p>
          <w:p w14:paraId="0E0AF0FC" w14:textId="2A4262C5" w:rsidR="00B9409E" w:rsidRPr="000863FE" w:rsidRDefault="00F03162">
            <w:r w:rsidRPr="27FD8C29">
              <w:rPr>
                <w:u w:val="single"/>
              </w:rPr>
              <w:t>Option 1</w:t>
            </w:r>
            <w:r w:rsidR="00292017">
              <w:t>: ‘</w:t>
            </w:r>
            <w:r>
              <w:t>Do Nothing</w:t>
            </w:r>
            <w:r w:rsidR="00292017">
              <w:t xml:space="preserve">’ – Do not implement secondary legislation mandating the online display of </w:t>
            </w:r>
            <w:r w:rsidR="611FE0FA">
              <w:t>FHRs</w:t>
            </w:r>
            <w:r w:rsidR="0051518A">
              <w:t>.</w:t>
            </w:r>
            <w:r w:rsidR="0093339E">
              <w:t xml:space="preserve"> This would</w:t>
            </w:r>
            <w:r w:rsidR="0051518A">
              <w:t xml:space="preserve"> mean that regulations would not be made pursuant to Section 7(3) of the Act (a provision introduced at the request of the NI Assembly Health Committee</w:t>
            </w:r>
            <w:r w:rsidR="00551C03">
              <w:t>),</w:t>
            </w:r>
            <w:r w:rsidR="00111E58">
              <w:t xml:space="preserve"> </w:t>
            </w:r>
            <w:r w:rsidR="0051518A">
              <w:t>and food businesses will not be required to display their rating online.</w:t>
            </w:r>
          </w:p>
          <w:p w14:paraId="4603D20B" w14:textId="772F57FF" w:rsidR="0072504E" w:rsidRPr="000863FE" w:rsidRDefault="00B9409E">
            <w:r w:rsidRPr="21240853">
              <w:rPr>
                <w:u w:val="single"/>
              </w:rPr>
              <w:t>Option 2</w:t>
            </w:r>
            <w:r>
              <w:t>:</w:t>
            </w:r>
            <w:r w:rsidR="00707968">
              <w:t xml:space="preserve"> Introduce secondary legislation which will underpin the online display provision set out in the Food Hygiene Rating Act (Northern Ireland) 2016 – </w:t>
            </w:r>
            <w:r w:rsidR="00CE76C2">
              <w:t>Introduce the proposed secondary legislation mandating the online display of FHRs.</w:t>
            </w:r>
            <w:r w:rsidR="00247736">
              <w:t xml:space="preserve"> This is the preferred option</w:t>
            </w:r>
            <w:r w:rsidR="000E6796">
              <w:t xml:space="preserve">, as it enables food hygiene regulations to be harmonised across physical and online settings, and </w:t>
            </w:r>
            <w:r w:rsidR="000F27C6">
              <w:t xml:space="preserve">as a result extends a number of benefits </w:t>
            </w:r>
            <w:r w:rsidR="00AE1B31">
              <w:t>realised</w:t>
            </w:r>
            <w:r w:rsidR="000F27C6">
              <w:t xml:space="preserve"> in</w:t>
            </w:r>
            <w:r w:rsidR="00AE1B31">
              <w:t xml:space="preserve"> the context of</w:t>
            </w:r>
            <w:r w:rsidR="000F27C6">
              <w:t xml:space="preserve"> physical display legislation</w:t>
            </w:r>
            <w:r w:rsidR="001E0A02">
              <w:t xml:space="preserve"> to the online food ordering market. These include</w:t>
            </w:r>
            <w:r w:rsidR="00EF76F6">
              <w:t xml:space="preserve"> improved food hygiene standards and compliance rates, better informed consumer choices increasing consumer confidence, reduced prevalence of foodborne disease through the prev</w:t>
            </w:r>
            <w:r w:rsidR="00484711">
              <w:t xml:space="preserve">ious two channels, and reduced regulatory </w:t>
            </w:r>
            <w:r w:rsidR="00923B4B">
              <w:t xml:space="preserve">burden </w:t>
            </w:r>
            <w:r w:rsidR="00002EDB">
              <w:t xml:space="preserve">experienced by the FSA, </w:t>
            </w:r>
            <w:r w:rsidR="00976235">
              <w:t>d</w:t>
            </w:r>
            <w:r w:rsidR="00002EDB">
              <w:t xml:space="preserve">istrict </w:t>
            </w:r>
            <w:r w:rsidR="00976235">
              <w:t>c</w:t>
            </w:r>
            <w:r w:rsidR="00002EDB">
              <w:t>ouncils and businesses within scope of the food hygiene regulations</w:t>
            </w:r>
            <w:r w:rsidR="009446AD">
              <w:t>.</w:t>
            </w:r>
          </w:p>
        </w:tc>
      </w:tr>
      <w:tr w:rsidR="00704C19" w14:paraId="4E02A032" w14:textId="77777777" w:rsidTr="00704C19">
        <w:trPr>
          <w:trHeight w:hRule="exact" w:val="549"/>
        </w:trPr>
        <w:tc>
          <w:tcPr>
            <w:tcW w:w="10296" w:type="dxa"/>
          </w:tcPr>
          <w:p w14:paraId="6E4E543D" w14:textId="7263BFB1" w:rsidR="00704C19" w:rsidRPr="000863FE" w:rsidRDefault="00704C19">
            <w:pPr>
              <w:rPr>
                <w:b/>
                <w:szCs w:val="24"/>
              </w:rPr>
            </w:pPr>
            <w:r w:rsidRPr="000863FE">
              <w:rPr>
                <w:b/>
                <w:szCs w:val="24"/>
              </w:rPr>
              <w:t>Will the policy be reviewed?</w:t>
            </w:r>
            <w:r w:rsidRPr="000863FE">
              <w:rPr>
                <w:szCs w:val="24"/>
              </w:rPr>
              <w:t xml:space="preserve">  </w:t>
            </w:r>
            <w:r w:rsidRPr="000863FE">
              <w:rPr>
                <w:szCs w:val="24"/>
              </w:rPr>
              <w:fldChar w:fldCharType="begin">
                <w:ffData>
                  <w:name w:val=""/>
                  <w:enabled/>
                  <w:calcOnExit w:val="0"/>
                  <w:ddList>
                    <w:listEntry w:val="It will be reviewed"/>
                    <w:listEntry w:val="It will not be reviewed"/>
                  </w:ddList>
                </w:ffData>
              </w:fldChar>
            </w:r>
            <w:r w:rsidRPr="000863FE">
              <w:rPr>
                <w:szCs w:val="24"/>
              </w:rPr>
              <w:instrText xml:space="preserve"> FORMDROPDOWN </w:instrText>
            </w:r>
            <w:r>
              <w:rPr>
                <w:szCs w:val="24"/>
              </w:rPr>
            </w:r>
            <w:r>
              <w:rPr>
                <w:szCs w:val="24"/>
              </w:rPr>
              <w:fldChar w:fldCharType="separate"/>
            </w:r>
            <w:r w:rsidRPr="000863FE">
              <w:rPr>
                <w:szCs w:val="24"/>
              </w:rPr>
              <w:fldChar w:fldCharType="end"/>
            </w:r>
          </w:p>
        </w:tc>
      </w:tr>
      <w:tr w:rsidR="00704C19" w14:paraId="29094FF9" w14:textId="77777777" w:rsidTr="00704C19">
        <w:trPr>
          <w:trHeight w:hRule="exact" w:val="549"/>
        </w:trPr>
        <w:tc>
          <w:tcPr>
            <w:tcW w:w="10296" w:type="dxa"/>
          </w:tcPr>
          <w:p w14:paraId="5A23C354" w14:textId="0B5AD742" w:rsidR="00704C19" w:rsidRPr="000863FE" w:rsidRDefault="00704C19" w:rsidP="00704C19">
            <w:pPr>
              <w:rPr>
                <w:b/>
                <w:szCs w:val="24"/>
              </w:rPr>
            </w:pPr>
            <w:r w:rsidRPr="000863FE">
              <w:rPr>
                <w:b/>
                <w:szCs w:val="24"/>
              </w:rPr>
              <w:t>If applicable, set review date:</w:t>
            </w:r>
            <w:r>
              <w:rPr>
                <w:b/>
                <w:szCs w:val="24"/>
              </w:rPr>
              <w:t xml:space="preserve"> </w:t>
            </w:r>
            <w:r w:rsidRPr="000863FE">
              <w:rPr>
                <w:bCs/>
                <w:szCs w:val="24"/>
              </w:rPr>
              <w:t>Under continuous review</w:t>
            </w:r>
          </w:p>
        </w:tc>
      </w:tr>
    </w:tbl>
    <w:p w14:paraId="3BC88E61" w14:textId="3700AAA9" w:rsidR="00AE6D20" w:rsidRDefault="00AE6D20">
      <w:pPr>
        <w:rPr>
          <w:szCs w:val="24"/>
        </w:rPr>
      </w:pPr>
    </w:p>
    <w:p w14:paraId="2F9FEB44" w14:textId="43015C4E" w:rsidR="00704C19" w:rsidRDefault="00704C19" w:rsidP="006647A3">
      <w:pPr>
        <w:pStyle w:val="Heading2"/>
      </w:pPr>
      <w:r w:rsidRPr="000863FE">
        <w:t>Cost of Preferred (or more likely) Option</w:t>
      </w:r>
      <w:r w:rsidRPr="000863FE">
        <w:rPr>
          <w:rStyle w:val="FootnoteReference"/>
          <w:b/>
          <w:sz w:val="24"/>
          <w:szCs w:val="24"/>
        </w:rPr>
        <w:footnoteReference w:id="2"/>
      </w:r>
    </w:p>
    <w:p w14:paraId="2336C2C8" w14:textId="77777777" w:rsidR="00704C19" w:rsidRPr="000863FE" w:rsidRDefault="00704C19">
      <w:pPr>
        <w:rPr>
          <w:szCs w:val="24"/>
        </w:rPr>
      </w:pPr>
    </w:p>
    <w:tbl>
      <w:tblPr>
        <w:tblStyle w:val="TableGrid"/>
        <w:tblW w:w="5000" w:type="pct"/>
        <w:tblLook w:val="01E0" w:firstRow="1" w:lastRow="1" w:firstColumn="1" w:lastColumn="1" w:noHBand="0" w:noVBand="0"/>
      </w:tblPr>
      <w:tblGrid>
        <w:gridCol w:w="3358"/>
        <w:gridCol w:w="3357"/>
        <w:gridCol w:w="3355"/>
      </w:tblGrid>
      <w:tr w:rsidR="00A73C2D" w:rsidRPr="00A73C2D" w14:paraId="0CA13C31" w14:textId="77777777" w:rsidTr="00520F9E">
        <w:tc>
          <w:tcPr>
            <w:tcW w:w="1667" w:type="pct"/>
          </w:tcPr>
          <w:p w14:paraId="1E2095F7" w14:textId="77777777" w:rsidR="00A73C2D" w:rsidRPr="000863FE" w:rsidRDefault="00A73C2D">
            <w:pPr>
              <w:rPr>
                <w:szCs w:val="24"/>
              </w:rPr>
            </w:pPr>
            <w:r w:rsidRPr="000863FE">
              <w:rPr>
                <w:b/>
                <w:szCs w:val="24"/>
              </w:rPr>
              <w:t xml:space="preserve">Total outlay cost for business  </w:t>
            </w:r>
            <w:r w:rsidRPr="000863FE">
              <w:rPr>
                <w:szCs w:val="24"/>
              </w:rPr>
              <w:t>£m</w:t>
            </w:r>
          </w:p>
        </w:tc>
        <w:tc>
          <w:tcPr>
            <w:tcW w:w="1667" w:type="pct"/>
          </w:tcPr>
          <w:p w14:paraId="6325F5E0" w14:textId="77777777" w:rsidR="00A73C2D" w:rsidRPr="000863FE" w:rsidRDefault="00A73C2D" w:rsidP="00126611">
            <w:pPr>
              <w:rPr>
                <w:szCs w:val="24"/>
              </w:rPr>
            </w:pPr>
            <w:r w:rsidRPr="000863FE">
              <w:rPr>
                <w:b/>
                <w:szCs w:val="24"/>
              </w:rPr>
              <w:t xml:space="preserve">Total net cost to business per year </w:t>
            </w:r>
            <w:r w:rsidRPr="000863FE">
              <w:rPr>
                <w:szCs w:val="24"/>
              </w:rPr>
              <w:t>£m</w:t>
            </w:r>
          </w:p>
        </w:tc>
        <w:tc>
          <w:tcPr>
            <w:tcW w:w="1666" w:type="pct"/>
          </w:tcPr>
          <w:p w14:paraId="425687B6" w14:textId="3E514505" w:rsidR="00A73C2D" w:rsidRPr="000863FE" w:rsidRDefault="00A73C2D" w:rsidP="00126611">
            <w:pPr>
              <w:rPr>
                <w:szCs w:val="24"/>
              </w:rPr>
            </w:pPr>
            <w:r w:rsidRPr="000863FE">
              <w:rPr>
                <w:b/>
                <w:szCs w:val="24"/>
              </w:rPr>
              <w:t>Annual cost for implementation by Regulator</w:t>
            </w:r>
            <w:r w:rsidRPr="000863FE">
              <w:rPr>
                <w:szCs w:val="24"/>
              </w:rPr>
              <w:t xml:space="preserve"> £m</w:t>
            </w:r>
          </w:p>
        </w:tc>
      </w:tr>
      <w:tr w:rsidR="00A73C2D" w:rsidRPr="0072504E" w14:paraId="0DD27297" w14:textId="77777777" w:rsidTr="00520F9E">
        <w:trPr>
          <w:trHeight w:hRule="exact" w:val="340"/>
        </w:trPr>
        <w:tc>
          <w:tcPr>
            <w:tcW w:w="1667" w:type="pct"/>
          </w:tcPr>
          <w:p w14:paraId="208EECEF" w14:textId="3661AA6D" w:rsidR="00A73C2D" w:rsidRPr="000863FE" w:rsidRDefault="00F36550">
            <w:pPr>
              <w:rPr>
                <w:szCs w:val="24"/>
              </w:rPr>
            </w:pPr>
            <w:r w:rsidRPr="000863FE">
              <w:rPr>
                <w:szCs w:val="24"/>
              </w:rPr>
              <w:t>0.</w:t>
            </w:r>
            <w:r w:rsidR="00A162D1" w:rsidRPr="000863FE">
              <w:rPr>
                <w:szCs w:val="24"/>
              </w:rPr>
              <w:t>61</w:t>
            </w:r>
          </w:p>
        </w:tc>
        <w:tc>
          <w:tcPr>
            <w:tcW w:w="1667" w:type="pct"/>
          </w:tcPr>
          <w:p w14:paraId="26244B17" w14:textId="3F53CE4B" w:rsidR="00A73C2D" w:rsidRPr="000863FE" w:rsidRDefault="000D318A">
            <w:pPr>
              <w:rPr>
                <w:szCs w:val="24"/>
              </w:rPr>
            </w:pPr>
            <w:r w:rsidRPr="000863FE">
              <w:rPr>
                <w:szCs w:val="24"/>
              </w:rPr>
              <w:t>0.07</w:t>
            </w:r>
          </w:p>
        </w:tc>
        <w:tc>
          <w:tcPr>
            <w:tcW w:w="1666" w:type="pct"/>
          </w:tcPr>
          <w:p w14:paraId="59618905" w14:textId="3F28EBFC" w:rsidR="00A73C2D" w:rsidRPr="000863FE" w:rsidRDefault="003A1034">
            <w:pPr>
              <w:rPr>
                <w:szCs w:val="24"/>
              </w:rPr>
            </w:pPr>
            <w:r w:rsidRPr="000863FE">
              <w:rPr>
                <w:szCs w:val="24"/>
              </w:rPr>
              <w:t>0</w:t>
            </w:r>
          </w:p>
        </w:tc>
      </w:tr>
    </w:tbl>
    <w:p w14:paraId="5D82C24D" w14:textId="77777777" w:rsidR="0072504E" w:rsidRPr="000863FE" w:rsidRDefault="0072504E">
      <w:pPr>
        <w:rPr>
          <w:szCs w:val="24"/>
        </w:rPr>
      </w:pPr>
    </w:p>
    <w:tbl>
      <w:tblPr>
        <w:tblStyle w:val="TableGrid"/>
        <w:tblW w:w="0" w:type="auto"/>
        <w:tblLook w:val="01E0" w:firstRow="1" w:lastRow="1" w:firstColumn="1" w:lastColumn="1" w:noHBand="0" w:noVBand="0"/>
      </w:tblPr>
      <w:tblGrid>
        <w:gridCol w:w="6612"/>
        <w:gridCol w:w="1769"/>
        <w:gridCol w:w="1689"/>
      </w:tblGrid>
      <w:tr w:rsidR="0009497A" w14:paraId="5F183B64" w14:textId="77777777" w:rsidTr="00520F9E">
        <w:tc>
          <w:tcPr>
            <w:tcW w:w="6612" w:type="dxa"/>
          </w:tcPr>
          <w:p w14:paraId="7C64EDB1" w14:textId="760E44E7" w:rsidR="0009497A" w:rsidRPr="000863FE" w:rsidRDefault="0009497A">
            <w:pPr>
              <w:rPr>
                <w:b/>
                <w:szCs w:val="24"/>
              </w:rPr>
            </w:pPr>
            <w:r w:rsidRPr="000863FE">
              <w:rPr>
                <w:b/>
                <w:szCs w:val="24"/>
              </w:rPr>
              <w:t>Does Implementation go beyond minimum EU requirements?</w:t>
            </w:r>
          </w:p>
        </w:tc>
        <w:tc>
          <w:tcPr>
            <w:tcW w:w="1769" w:type="dxa"/>
          </w:tcPr>
          <w:p w14:paraId="46FFAAD1" w14:textId="5649E974" w:rsidR="0009497A" w:rsidRPr="000863FE" w:rsidRDefault="008B64E0">
            <w:pPr>
              <w:rPr>
                <w:b/>
                <w:szCs w:val="24"/>
              </w:rPr>
            </w:pPr>
            <w:r w:rsidRPr="000863FE">
              <w:rPr>
                <w:b/>
                <w:szCs w:val="24"/>
              </w:rPr>
              <w:t>YES</w:t>
            </w:r>
            <w:r w:rsidR="0009497A" w:rsidRPr="000863FE">
              <w:rPr>
                <w:b/>
                <w:szCs w:val="24"/>
              </w:rPr>
              <w:t xml:space="preserve"> </w:t>
            </w:r>
            <w:r w:rsidR="00B60EE2" w:rsidRPr="000863FE">
              <w:rPr>
                <w:b/>
                <w:szCs w:val="24"/>
              </w:rPr>
              <w:fldChar w:fldCharType="begin">
                <w:ffData>
                  <w:name w:val="Check1"/>
                  <w:enabled/>
                  <w:calcOnExit w:val="0"/>
                  <w:checkBox>
                    <w:sizeAuto/>
                    <w:default w:val="0"/>
                  </w:checkBox>
                </w:ffData>
              </w:fldChar>
            </w:r>
            <w:bookmarkStart w:id="1" w:name="Check1"/>
            <w:r w:rsidR="00B60EE2" w:rsidRPr="000863FE">
              <w:rPr>
                <w:b/>
                <w:szCs w:val="24"/>
              </w:rPr>
              <w:instrText xml:space="preserve"> FORMCHECKBOX </w:instrText>
            </w:r>
            <w:r w:rsidR="002F7C4A">
              <w:rPr>
                <w:b/>
                <w:szCs w:val="24"/>
              </w:rPr>
            </w:r>
            <w:r w:rsidR="002F7C4A">
              <w:rPr>
                <w:b/>
                <w:szCs w:val="24"/>
              </w:rPr>
              <w:fldChar w:fldCharType="separate"/>
            </w:r>
            <w:r w:rsidR="00B60EE2" w:rsidRPr="000863FE">
              <w:rPr>
                <w:b/>
                <w:szCs w:val="24"/>
              </w:rPr>
              <w:fldChar w:fldCharType="end"/>
            </w:r>
            <w:bookmarkEnd w:id="1"/>
          </w:p>
        </w:tc>
        <w:tc>
          <w:tcPr>
            <w:tcW w:w="1689" w:type="dxa"/>
          </w:tcPr>
          <w:p w14:paraId="5948F628" w14:textId="1B2AE445" w:rsidR="0009497A" w:rsidRPr="000863FE" w:rsidRDefault="008B64E0">
            <w:pPr>
              <w:rPr>
                <w:b/>
                <w:szCs w:val="24"/>
              </w:rPr>
            </w:pPr>
            <w:r w:rsidRPr="000863FE">
              <w:rPr>
                <w:b/>
                <w:szCs w:val="24"/>
              </w:rPr>
              <w:t>NO</w:t>
            </w:r>
            <w:r w:rsidR="0009497A" w:rsidRPr="000863FE">
              <w:rPr>
                <w:b/>
                <w:szCs w:val="24"/>
              </w:rPr>
              <w:t xml:space="preserve"> </w:t>
            </w:r>
            <w:r w:rsidR="00B60EE2" w:rsidRPr="000863FE">
              <w:rPr>
                <w:b/>
                <w:szCs w:val="24"/>
              </w:rPr>
              <w:fldChar w:fldCharType="begin">
                <w:ffData>
                  <w:name w:val="Check2"/>
                  <w:enabled/>
                  <w:calcOnExit w:val="0"/>
                  <w:checkBox>
                    <w:sizeAuto/>
                    <w:default w:val="1"/>
                  </w:checkBox>
                </w:ffData>
              </w:fldChar>
            </w:r>
            <w:r w:rsidR="00B60EE2" w:rsidRPr="000863FE">
              <w:rPr>
                <w:b/>
                <w:szCs w:val="24"/>
              </w:rPr>
              <w:instrText xml:space="preserve"> </w:instrText>
            </w:r>
            <w:bookmarkStart w:id="2" w:name="Check2"/>
            <w:r w:rsidR="00B60EE2" w:rsidRPr="000863FE">
              <w:rPr>
                <w:b/>
                <w:szCs w:val="24"/>
              </w:rPr>
              <w:instrText xml:space="preserve">FORMCHECKBOX </w:instrText>
            </w:r>
            <w:r w:rsidR="002F7C4A">
              <w:rPr>
                <w:b/>
                <w:szCs w:val="24"/>
              </w:rPr>
            </w:r>
            <w:r w:rsidR="002F7C4A">
              <w:rPr>
                <w:b/>
                <w:szCs w:val="24"/>
              </w:rPr>
              <w:fldChar w:fldCharType="separate"/>
            </w:r>
            <w:r w:rsidR="00B60EE2" w:rsidRPr="000863FE">
              <w:rPr>
                <w:b/>
                <w:szCs w:val="24"/>
              </w:rPr>
              <w:fldChar w:fldCharType="end"/>
            </w:r>
            <w:bookmarkEnd w:id="2"/>
          </w:p>
        </w:tc>
      </w:tr>
      <w:tr w:rsidR="008B64E0" w14:paraId="207148FB" w14:textId="77777777" w:rsidTr="00520F9E">
        <w:tc>
          <w:tcPr>
            <w:tcW w:w="6612" w:type="dxa"/>
          </w:tcPr>
          <w:p w14:paraId="3FAB4385" w14:textId="77777777" w:rsidR="008B64E0" w:rsidRPr="000863FE" w:rsidRDefault="008B64E0">
            <w:pPr>
              <w:rPr>
                <w:b/>
                <w:szCs w:val="24"/>
              </w:rPr>
            </w:pPr>
            <w:r w:rsidRPr="000863FE">
              <w:rPr>
                <w:b/>
                <w:iCs/>
                <w:szCs w:val="24"/>
              </w:rPr>
              <w:t>Is this measure likely to impact on trade and investment?</w:t>
            </w:r>
          </w:p>
        </w:tc>
        <w:tc>
          <w:tcPr>
            <w:tcW w:w="1769" w:type="dxa"/>
          </w:tcPr>
          <w:p w14:paraId="284A1724" w14:textId="77777777" w:rsidR="008B64E0" w:rsidRPr="000863FE" w:rsidRDefault="008B64E0">
            <w:pPr>
              <w:rPr>
                <w:b/>
                <w:szCs w:val="24"/>
              </w:rPr>
            </w:pPr>
            <w:r w:rsidRPr="000863FE">
              <w:rPr>
                <w:b/>
                <w:szCs w:val="24"/>
              </w:rPr>
              <w:t xml:space="preserve">YES </w:t>
            </w:r>
            <w:r w:rsidRPr="000863FE">
              <w:rPr>
                <w:b/>
                <w:szCs w:val="24"/>
              </w:rPr>
              <w:fldChar w:fldCharType="begin">
                <w:ffData>
                  <w:name w:val="Check1"/>
                  <w:enabled/>
                  <w:calcOnExit w:val="0"/>
                  <w:checkBox>
                    <w:sizeAuto/>
                    <w:default w:val="0"/>
                    <w:checked w:val="0"/>
                  </w:checkBox>
                </w:ffData>
              </w:fldChar>
            </w:r>
            <w:r w:rsidRPr="000863FE">
              <w:rPr>
                <w:b/>
                <w:szCs w:val="24"/>
              </w:rPr>
              <w:instrText xml:space="preserve"> FORMCHECKBOX </w:instrText>
            </w:r>
            <w:r w:rsidR="002F7C4A">
              <w:rPr>
                <w:b/>
                <w:szCs w:val="24"/>
              </w:rPr>
            </w:r>
            <w:r w:rsidR="002F7C4A">
              <w:rPr>
                <w:b/>
                <w:szCs w:val="24"/>
              </w:rPr>
              <w:fldChar w:fldCharType="separate"/>
            </w:r>
            <w:r w:rsidRPr="000863FE">
              <w:rPr>
                <w:b/>
                <w:szCs w:val="24"/>
              </w:rPr>
              <w:fldChar w:fldCharType="end"/>
            </w:r>
          </w:p>
        </w:tc>
        <w:tc>
          <w:tcPr>
            <w:tcW w:w="1689" w:type="dxa"/>
          </w:tcPr>
          <w:p w14:paraId="3D66810B" w14:textId="319FB9C0" w:rsidR="008B64E0" w:rsidRPr="000863FE" w:rsidRDefault="008B64E0">
            <w:pPr>
              <w:rPr>
                <w:b/>
                <w:szCs w:val="24"/>
              </w:rPr>
            </w:pPr>
            <w:r w:rsidRPr="000863FE">
              <w:rPr>
                <w:b/>
                <w:szCs w:val="24"/>
              </w:rPr>
              <w:t xml:space="preserve">NO </w:t>
            </w:r>
            <w:r w:rsidR="00EE5B81" w:rsidRPr="000863FE">
              <w:rPr>
                <w:b/>
                <w:szCs w:val="24"/>
              </w:rPr>
              <w:fldChar w:fldCharType="begin">
                <w:ffData>
                  <w:name w:val=""/>
                  <w:enabled/>
                  <w:calcOnExit w:val="0"/>
                  <w:checkBox>
                    <w:sizeAuto/>
                    <w:default w:val="1"/>
                  </w:checkBox>
                </w:ffData>
              </w:fldChar>
            </w:r>
            <w:r w:rsidR="00EE5B81" w:rsidRPr="000863FE">
              <w:rPr>
                <w:b/>
                <w:szCs w:val="24"/>
              </w:rPr>
              <w:instrText xml:space="preserve"> FORMCHECKBOX </w:instrText>
            </w:r>
            <w:r w:rsidR="002F7C4A">
              <w:rPr>
                <w:b/>
                <w:szCs w:val="24"/>
              </w:rPr>
            </w:r>
            <w:r w:rsidR="002F7C4A">
              <w:rPr>
                <w:b/>
                <w:szCs w:val="24"/>
              </w:rPr>
              <w:fldChar w:fldCharType="separate"/>
            </w:r>
            <w:r w:rsidR="00EE5B81" w:rsidRPr="000863FE">
              <w:rPr>
                <w:b/>
                <w:szCs w:val="24"/>
              </w:rPr>
              <w:fldChar w:fldCharType="end"/>
            </w:r>
          </w:p>
        </w:tc>
      </w:tr>
    </w:tbl>
    <w:p w14:paraId="6A110026" w14:textId="1E1CDE4B" w:rsidR="00A73C2D" w:rsidRDefault="00A73C2D">
      <w:pPr>
        <w:rPr>
          <w:szCs w:val="24"/>
        </w:rPr>
      </w:pPr>
    </w:p>
    <w:p w14:paraId="54889EF7" w14:textId="03DE2B86" w:rsidR="00704C19" w:rsidRDefault="00704C19">
      <w:pPr>
        <w:rPr>
          <w:szCs w:val="24"/>
        </w:rPr>
      </w:pPr>
      <w:r w:rsidRPr="000863FE">
        <w:rPr>
          <w:szCs w:val="24"/>
        </w:rPr>
        <w:t>Are any of these organisations in scope?</w:t>
      </w:r>
    </w:p>
    <w:p w14:paraId="7FA1F919" w14:textId="77777777" w:rsidR="00704C19" w:rsidRDefault="00704C19">
      <w:pPr>
        <w:rPr>
          <w:szCs w:val="24"/>
        </w:rPr>
      </w:pPr>
    </w:p>
    <w:tbl>
      <w:tblPr>
        <w:tblStyle w:val="TableGrid"/>
        <w:tblW w:w="5000" w:type="pct"/>
        <w:tblLook w:val="01E0" w:firstRow="1" w:lastRow="1" w:firstColumn="1" w:lastColumn="1" w:noHBand="0" w:noVBand="0"/>
      </w:tblPr>
      <w:tblGrid>
        <w:gridCol w:w="2519"/>
        <w:gridCol w:w="2518"/>
        <w:gridCol w:w="2518"/>
        <w:gridCol w:w="2515"/>
      </w:tblGrid>
      <w:tr w:rsidR="00704C19" w:rsidRPr="00A73C2D" w14:paraId="37A37029" w14:textId="316132F7" w:rsidTr="00520F9E">
        <w:tc>
          <w:tcPr>
            <w:tcW w:w="1251" w:type="pct"/>
          </w:tcPr>
          <w:p w14:paraId="5A0B48AB" w14:textId="77777777" w:rsidR="00704C19" w:rsidRPr="000863FE" w:rsidRDefault="00704C19" w:rsidP="00704C19">
            <w:pPr>
              <w:rPr>
                <w:b/>
                <w:szCs w:val="24"/>
              </w:rPr>
            </w:pPr>
            <w:r w:rsidRPr="000863FE">
              <w:rPr>
                <w:b/>
                <w:szCs w:val="24"/>
              </w:rPr>
              <w:t>Micro</w:t>
            </w:r>
          </w:p>
          <w:p w14:paraId="7CA14EC4" w14:textId="7DEFAE18" w:rsidR="00704C19" w:rsidRPr="000863FE" w:rsidRDefault="00704C19" w:rsidP="00704C19">
            <w:pPr>
              <w:rPr>
                <w:szCs w:val="24"/>
              </w:rPr>
            </w:pPr>
            <w:r w:rsidRPr="000863FE">
              <w:rPr>
                <w:szCs w:val="24"/>
              </w:rPr>
              <w:t xml:space="preserve">Yes </w:t>
            </w:r>
            <w:r w:rsidRPr="000863FE">
              <w:rPr>
                <w:szCs w:val="24"/>
              </w:rPr>
              <w:fldChar w:fldCharType="begin">
                <w:ffData>
                  <w:name w:val="Check9"/>
                  <w:enabled/>
                  <w:calcOnExit w:val="0"/>
                  <w:checkBox>
                    <w:sizeAuto/>
                    <w:default w:val="1"/>
                  </w:checkBox>
                </w:ffData>
              </w:fldChar>
            </w:r>
            <w:r w:rsidRPr="000863FE">
              <w:rPr>
                <w:szCs w:val="24"/>
              </w:rPr>
              <w:instrText xml:space="preserve"> FORMCHECKBOX </w:instrText>
            </w:r>
            <w:r>
              <w:rPr>
                <w:szCs w:val="24"/>
              </w:rPr>
            </w:r>
            <w:r>
              <w:rPr>
                <w:szCs w:val="24"/>
              </w:rPr>
              <w:fldChar w:fldCharType="separate"/>
            </w:r>
            <w:r w:rsidRPr="000863FE">
              <w:rPr>
                <w:szCs w:val="24"/>
              </w:rPr>
              <w:fldChar w:fldCharType="end"/>
            </w:r>
            <w:r w:rsidRPr="000863FE">
              <w:rPr>
                <w:szCs w:val="24"/>
              </w:rPr>
              <w:t xml:space="preserve"> No </w:t>
            </w:r>
            <w:r w:rsidRPr="000863FE">
              <w:rPr>
                <w:szCs w:val="24"/>
              </w:rPr>
              <w:fldChar w:fldCharType="begin">
                <w:ffData>
                  <w:name w:val="Check10"/>
                  <w:enabled/>
                  <w:calcOnExit w:val="0"/>
                  <w:checkBox>
                    <w:sizeAuto/>
                    <w:default w:val="0"/>
                  </w:checkBox>
                </w:ffData>
              </w:fldChar>
            </w:r>
            <w:r w:rsidRPr="000863FE">
              <w:rPr>
                <w:szCs w:val="24"/>
              </w:rPr>
              <w:instrText xml:space="preserve"> FORMCHECKBOX </w:instrText>
            </w:r>
            <w:r>
              <w:rPr>
                <w:szCs w:val="24"/>
              </w:rPr>
            </w:r>
            <w:r>
              <w:rPr>
                <w:szCs w:val="24"/>
              </w:rPr>
              <w:fldChar w:fldCharType="separate"/>
            </w:r>
            <w:r w:rsidRPr="000863FE">
              <w:rPr>
                <w:szCs w:val="24"/>
              </w:rPr>
              <w:fldChar w:fldCharType="end"/>
            </w:r>
          </w:p>
        </w:tc>
        <w:tc>
          <w:tcPr>
            <w:tcW w:w="1250" w:type="pct"/>
          </w:tcPr>
          <w:p w14:paraId="6EF6D716" w14:textId="77777777" w:rsidR="00704C19" w:rsidRPr="000863FE" w:rsidRDefault="00704C19" w:rsidP="00704C19">
            <w:pPr>
              <w:rPr>
                <w:b/>
                <w:szCs w:val="24"/>
              </w:rPr>
            </w:pPr>
            <w:r w:rsidRPr="000863FE">
              <w:rPr>
                <w:b/>
                <w:szCs w:val="24"/>
              </w:rPr>
              <w:t>Small</w:t>
            </w:r>
          </w:p>
          <w:p w14:paraId="5357C298" w14:textId="0EA65750" w:rsidR="00704C19" w:rsidRPr="000863FE" w:rsidRDefault="00704C19" w:rsidP="00704C19">
            <w:pPr>
              <w:rPr>
                <w:szCs w:val="24"/>
              </w:rPr>
            </w:pPr>
            <w:r w:rsidRPr="000863FE">
              <w:rPr>
                <w:szCs w:val="24"/>
              </w:rPr>
              <w:t xml:space="preserve">Yes </w:t>
            </w:r>
            <w:r w:rsidRPr="000863FE">
              <w:rPr>
                <w:szCs w:val="24"/>
              </w:rPr>
              <w:fldChar w:fldCharType="begin">
                <w:ffData>
                  <w:name w:val="Check7"/>
                  <w:enabled/>
                  <w:calcOnExit w:val="0"/>
                  <w:checkBox>
                    <w:sizeAuto/>
                    <w:default w:val="1"/>
                  </w:checkBox>
                </w:ffData>
              </w:fldChar>
            </w:r>
            <w:r w:rsidRPr="000863FE">
              <w:rPr>
                <w:szCs w:val="24"/>
              </w:rPr>
              <w:instrText xml:space="preserve"> FORMCHECKBOX </w:instrText>
            </w:r>
            <w:r>
              <w:rPr>
                <w:szCs w:val="24"/>
              </w:rPr>
            </w:r>
            <w:r>
              <w:rPr>
                <w:szCs w:val="24"/>
              </w:rPr>
              <w:fldChar w:fldCharType="separate"/>
            </w:r>
            <w:r w:rsidRPr="000863FE">
              <w:rPr>
                <w:szCs w:val="24"/>
              </w:rPr>
              <w:fldChar w:fldCharType="end"/>
            </w:r>
            <w:r w:rsidRPr="000863FE">
              <w:rPr>
                <w:szCs w:val="24"/>
              </w:rPr>
              <w:t xml:space="preserve"> No </w:t>
            </w:r>
            <w:r w:rsidRPr="000863FE">
              <w:rPr>
                <w:szCs w:val="24"/>
              </w:rPr>
              <w:fldChar w:fldCharType="begin">
                <w:ffData>
                  <w:name w:val="Check8"/>
                  <w:enabled/>
                  <w:calcOnExit w:val="0"/>
                  <w:checkBox>
                    <w:sizeAuto/>
                    <w:default w:val="0"/>
                  </w:checkBox>
                </w:ffData>
              </w:fldChar>
            </w:r>
            <w:r w:rsidRPr="000863FE">
              <w:rPr>
                <w:szCs w:val="24"/>
              </w:rPr>
              <w:instrText xml:space="preserve"> FORMCHECKBOX </w:instrText>
            </w:r>
            <w:r>
              <w:rPr>
                <w:szCs w:val="24"/>
              </w:rPr>
            </w:r>
            <w:r>
              <w:rPr>
                <w:szCs w:val="24"/>
              </w:rPr>
              <w:fldChar w:fldCharType="separate"/>
            </w:r>
            <w:r w:rsidRPr="000863FE">
              <w:rPr>
                <w:szCs w:val="24"/>
              </w:rPr>
              <w:fldChar w:fldCharType="end"/>
            </w:r>
          </w:p>
        </w:tc>
        <w:tc>
          <w:tcPr>
            <w:tcW w:w="1250" w:type="pct"/>
          </w:tcPr>
          <w:p w14:paraId="1E705655" w14:textId="77777777" w:rsidR="00704C19" w:rsidRPr="000863FE" w:rsidRDefault="00704C19" w:rsidP="00704C19">
            <w:pPr>
              <w:rPr>
                <w:b/>
                <w:szCs w:val="24"/>
              </w:rPr>
            </w:pPr>
            <w:r w:rsidRPr="000863FE">
              <w:rPr>
                <w:b/>
                <w:szCs w:val="24"/>
              </w:rPr>
              <w:t xml:space="preserve">Medium </w:t>
            </w:r>
          </w:p>
          <w:p w14:paraId="68D111C4" w14:textId="56ACAC2E" w:rsidR="00704C19" w:rsidRPr="000863FE" w:rsidRDefault="00704C19" w:rsidP="00704C19">
            <w:pPr>
              <w:rPr>
                <w:szCs w:val="24"/>
              </w:rPr>
            </w:pPr>
            <w:r w:rsidRPr="000863FE">
              <w:rPr>
                <w:szCs w:val="24"/>
              </w:rPr>
              <w:t xml:space="preserve">Yes </w:t>
            </w:r>
            <w:r w:rsidRPr="000863FE">
              <w:rPr>
                <w:szCs w:val="24"/>
              </w:rPr>
              <w:fldChar w:fldCharType="begin">
                <w:ffData>
                  <w:name w:val="Check5"/>
                  <w:enabled/>
                  <w:calcOnExit w:val="0"/>
                  <w:checkBox>
                    <w:sizeAuto/>
                    <w:default w:val="1"/>
                  </w:checkBox>
                </w:ffData>
              </w:fldChar>
            </w:r>
            <w:r w:rsidRPr="000863FE">
              <w:rPr>
                <w:szCs w:val="24"/>
              </w:rPr>
              <w:instrText xml:space="preserve"> FORMCHECKBOX </w:instrText>
            </w:r>
            <w:r>
              <w:rPr>
                <w:szCs w:val="24"/>
              </w:rPr>
            </w:r>
            <w:r>
              <w:rPr>
                <w:szCs w:val="24"/>
              </w:rPr>
              <w:fldChar w:fldCharType="separate"/>
            </w:r>
            <w:r w:rsidRPr="000863FE">
              <w:rPr>
                <w:szCs w:val="24"/>
              </w:rPr>
              <w:fldChar w:fldCharType="end"/>
            </w:r>
            <w:r w:rsidRPr="000863FE">
              <w:rPr>
                <w:szCs w:val="24"/>
              </w:rPr>
              <w:t xml:space="preserve"> No </w:t>
            </w:r>
            <w:r w:rsidRPr="000863FE">
              <w:rPr>
                <w:szCs w:val="24"/>
              </w:rPr>
              <w:fldChar w:fldCharType="begin">
                <w:ffData>
                  <w:name w:val="Check6"/>
                  <w:enabled/>
                  <w:calcOnExit w:val="0"/>
                  <w:checkBox>
                    <w:sizeAuto/>
                    <w:default w:val="0"/>
                  </w:checkBox>
                </w:ffData>
              </w:fldChar>
            </w:r>
            <w:r w:rsidRPr="000863FE">
              <w:rPr>
                <w:szCs w:val="24"/>
              </w:rPr>
              <w:instrText xml:space="preserve"> FORMCHECKBOX </w:instrText>
            </w:r>
            <w:r>
              <w:rPr>
                <w:szCs w:val="24"/>
              </w:rPr>
            </w:r>
            <w:r>
              <w:rPr>
                <w:szCs w:val="24"/>
              </w:rPr>
              <w:fldChar w:fldCharType="separate"/>
            </w:r>
            <w:r w:rsidRPr="000863FE">
              <w:rPr>
                <w:szCs w:val="24"/>
              </w:rPr>
              <w:fldChar w:fldCharType="end"/>
            </w:r>
          </w:p>
        </w:tc>
        <w:tc>
          <w:tcPr>
            <w:tcW w:w="1249" w:type="pct"/>
          </w:tcPr>
          <w:p w14:paraId="39564E7B" w14:textId="77777777" w:rsidR="00704C19" w:rsidRPr="000863FE" w:rsidRDefault="00704C19" w:rsidP="00704C19">
            <w:pPr>
              <w:rPr>
                <w:b/>
                <w:szCs w:val="24"/>
              </w:rPr>
            </w:pPr>
            <w:r w:rsidRPr="000863FE">
              <w:rPr>
                <w:b/>
                <w:szCs w:val="24"/>
              </w:rPr>
              <w:t>Large</w:t>
            </w:r>
          </w:p>
          <w:p w14:paraId="78ED0C10" w14:textId="3F0DA27F" w:rsidR="00704C19" w:rsidRPr="000863FE" w:rsidRDefault="00704C19" w:rsidP="00704C19">
            <w:pPr>
              <w:rPr>
                <w:b/>
                <w:szCs w:val="24"/>
              </w:rPr>
            </w:pPr>
            <w:r w:rsidRPr="000863FE">
              <w:rPr>
                <w:szCs w:val="24"/>
              </w:rPr>
              <w:t xml:space="preserve">Yes </w:t>
            </w:r>
            <w:r w:rsidRPr="000863FE">
              <w:rPr>
                <w:szCs w:val="24"/>
              </w:rPr>
              <w:fldChar w:fldCharType="begin">
                <w:ffData>
                  <w:name w:val="Check3"/>
                  <w:enabled/>
                  <w:calcOnExit w:val="0"/>
                  <w:checkBox>
                    <w:sizeAuto/>
                    <w:default w:val="1"/>
                  </w:checkBox>
                </w:ffData>
              </w:fldChar>
            </w:r>
            <w:r w:rsidRPr="000863FE">
              <w:rPr>
                <w:szCs w:val="24"/>
              </w:rPr>
              <w:instrText xml:space="preserve"> FORMCHECKBOX </w:instrText>
            </w:r>
            <w:r>
              <w:rPr>
                <w:szCs w:val="24"/>
              </w:rPr>
            </w:r>
            <w:r>
              <w:rPr>
                <w:szCs w:val="24"/>
              </w:rPr>
              <w:fldChar w:fldCharType="separate"/>
            </w:r>
            <w:r w:rsidRPr="000863FE">
              <w:rPr>
                <w:szCs w:val="24"/>
              </w:rPr>
              <w:fldChar w:fldCharType="end"/>
            </w:r>
            <w:r w:rsidRPr="000863FE">
              <w:rPr>
                <w:szCs w:val="24"/>
              </w:rPr>
              <w:t xml:space="preserve"> No </w:t>
            </w:r>
            <w:r w:rsidRPr="000863FE">
              <w:rPr>
                <w:szCs w:val="24"/>
              </w:rPr>
              <w:fldChar w:fldCharType="begin">
                <w:ffData>
                  <w:name w:val="Check4"/>
                  <w:enabled/>
                  <w:calcOnExit w:val="0"/>
                  <w:checkBox>
                    <w:sizeAuto/>
                    <w:default w:val="0"/>
                  </w:checkBox>
                </w:ffData>
              </w:fldChar>
            </w:r>
            <w:r w:rsidRPr="000863FE">
              <w:rPr>
                <w:szCs w:val="24"/>
              </w:rPr>
              <w:instrText xml:space="preserve"> FORMCHECKBOX </w:instrText>
            </w:r>
            <w:r>
              <w:rPr>
                <w:szCs w:val="24"/>
              </w:rPr>
            </w:r>
            <w:r>
              <w:rPr>
                <w:szCs w:val="24"/>
              </w:rPr>
              <w:fldChar w:fldCharType="separate"/>
            </w:r>
            <w:r w:rsidRPr="000863FE">
              <w:rPr>
                <w:szCs w:val="24"/>
              </w:rPr>
              <w:fldChar w:fldCharType="end"/>
            </w:r>
          </w:p>
        </w:tc>
      </w:tr>
    </w:tbl>
    <w:p w14:paraId="5B6CCB89" w14:textId="77C939C8" w:rsidR="00704C19" w:rsidRDefault="00704C19">
      <w:pPr>
        <w:rPr>
          <w:szCs w:val="24"/>
        </w:rPr>
      </w:pPr>
    </w:p>
    <w:p w14:paraId="7DBAA6E3" w14:textId="77777777" w:rsidR="00704C19" w:rsidRPr="000863FE" w:rsidRDefault="00704C19">
      <w:pPr>
        <w:rPr>
          <w:szCs w:val="24"/>
        </w:rPr>
      </w:pPr>
    </w:p>
    <w:p w14:paraId="293FA6D8" w14:textId="77777777" w:rsidR="00CF1552" w:rsidRPr="000863FE" w:rsidRDefault="00CF1552">
      <w:pPr>
        <w:rPr>
          <w:b/>
          <w:szCs w:val="24"/>
        </w:rPr>
      </w:pPr>
      <w:r w:rsidRPr="000863FE">
        <w:rPr>
          <w:b/>
          <w:szCs w:val="24"/>
        </w:rPr>
        <w:t>The final RIA supporting legislation must be attached to the Explanatory Memorandum and published with it.</w:t>
      </w:r>
    </w:p>
    <w:p w14:paraId="1CD3E1F4" w14:textId="77777777" w:rsidR="00704C19" w:rsidRDefault="008517AA">
      <w:pPr>
        <w:rPr>
          <w:sz w:val="22"/>
          <w:szCs w:val="22"/>
        </w:rPr>
      </w:pPr>
      <w:r w:rsidRPr="004302BC">
        <w:rPr>
          <w:sz w:val="22"/>
          <w:szCs w:val="22"/>
        </w:rPr>
        <w:t xml:space="preserve">Approved by:  </w:t>
      </w:r>
      <w:r w:rsidR="00170AAB" w:rsidRPr="004302BC">
        <w:rPr>
          <w:sz w:val="22"/>
          <w:szCs w:val="22"/>
        </w:rPr>
        <w:t>Eirini Petratou</w:t>
      </w:r>
      <w:r w:rsidR="00CF1552" w:rsidRPr="004302BC">
        <w:rPr>
          <w:sz w:val="22"/>
          <w:szCs w:val="22"/>
        </w:rPr>
        <w:t xml:space="preserve">   </w:t>
      </w:r>
    </w:p>
    <w:p w14:paraId="09F07BAC" w14:textId="0CCC8340" w:rsidR="00CF1552" w:rsidRPr="004302BC" w:rsidRDefault="00CF1552">
      <w:pPr>
        <w:rPr>
          <w:sz w:val="22"/>
          <w:szCs w:val="22"/>
        </w:rPr>
      </w:pPr>
      <w:r w:rsidRPr="004302BC">
        <w:rPr>
          <w:sz w:val="22"/>
          <w:szCs w:val="22"/>
        </w:rPr>
        <w:t>Date:</w:t>
      </w:r>
      <w:r w:rsidR="008517AA" w:rsidRPr="004302BC">
        <w:rPr>
          <w:sz w:val="22"/>
          <w:szCs w:val="22"/>
        </w:rPr>
        <w:t xml:space="preserve"> </w:t>
      </w:r>
      <w:r w:rsidR="00381078" w:rsidRPr="004302BC">
        <w:rPr>
          <w:sz w:val="22"/>
          <w:szCs w:val="22"/>
        </w:rPr>
        <w:t>1</w:t>
      </w:r>
      <w:r w:rsidR="007A6D30">
        <w:rPr>
          <w:sz w:val="22"/>
          <w:szCs w:val="22"/>
        </w:rPr>
        <w:t>6</w:t>
      </w:r>
      <w:r w:rsidR="00381078" w:rsidRPr="004302BC">
        <w:rPr>
          <w:sz w:val="22"/>
          <w:szCs w:val="22"/>
        </w:rPr>
        <w:t>.0</w:t>
      </w:r>
      <w:r w:rsidR="004E431C">
        <w:rPr>
          <w:sz w:val="22"/>
          <w:szCs w:val="22"/>
        </w:rPr>
        <w:t>6</w:t>
      </w:r>
      <w:r w:rsidR="00381078" w:rsidRPr="004302BC">
        <w:rPr>
          <w:sz w:val="22"/>
          <w:szCs w:val="22"/>
        </w:rPr>
        <w:t>.22</w:t>
      </w:r>
    </w:p>
    <w:p w14:paraId="69C528BC" w14:textId="77777777" w:rsidR="0009497A" w:rsidRPr="00CF1552" w:rsidRDefault="0009497A">
      <w:pPr>
        <w:rPr>
          <w:sz w:val="20"/>
        </w:rPr>
        <w:sectPr w:rsidR="0009497A" w:rsidRPr="00CF1552" w:rsidSect="001641CF">
          <w:pgSz w:w="11906" w:h="16838"/>
          <w:pgMar w:top="540" w:right="926" w:bottom="720" w:left="900" w:header="708" w:footer="708" w:gutter="0"/>
          <w:cols w:space="708"/>
          <w:docGrid w:linePitch="360"/>
        </w:sectPr>
      </w:pPr>
    </w:p>
    <w:p w14:paraId="4BB8976D" w14:textId="77777777" w:rsidR="0009497A" w:rsidRDefault="003D6EAD" w:rsidP="00734AB8">
      <w:pPr>
        <w:tabs>
          <w:tab w:val="left" w:pos="7797"/>
        </w:tabs>
        <w:rPr>
          <w:sz w:val="28"/>
          <w:szCs w:val="28"/>
        </w:rPr>
      </w:pPr>
      <w:bookmarkStart w:id="3" w:name="_Hlk101444999"/>
      <w:r w:rsidRPr="003D6EAD">
        <w:rPr>
          <w:sz w:val="28"/>
          <w:szCs w:val="28"/>
        </w:rPr>
        <w:lastRenderedPageBreak/>
        <w:t xml:space="preserve">Summary: Analysis and Evidence </w:t>
      </w:r>
      <w:r>
        <w:rPr>
          <w:sz w:val="28"/>
          <w:szCs w:val="28"/>
        </w:rPr>
        <w:tab/>
      </w:r>
      <w:r w:rsidRPr="003D6EAD">
        <w:rPr>
          <w:sz w:val="28"/>
          <w:szCs w:val="28"/>
        </w:rPr>
        <w:t>Po</w:t>
      </w:r>
      <w:r w:rsidR="00CC0939">
        <w:rPr>
          <w:sz w:val="28"/>
          <w:szCs w:val="28"/>
        </w:rPr>
        <w:t xml:space="preserve">licy Option </w:t>
      </w:r>
      <w:bookmarkStart w:id="4" w:name="OptionNumber"/>
      <w:r w:rsidR="004904DE">
        <w:rPr>
          <w:sz w:val="28"/>
          <w:szCs w:val="28"/>
        </w:rPr>
        <w:fldChar w:fldCharType="begin">
          <w:ffData>
            <w:name w:val="OptionNumber"/>
            <w:enabled w:val="0"/>
            <w:calcOnExit w:val="0"/>
            <w:textInput>
              <w:type w:val="number"/>
              <w:default w:val="1"/>
              <w:format w:val="0"/>
            </w:textInput>
          </w:ffData>
        </w:fldChar>
      </w:r>
      <w:r w:rsidR="00734AB8">
        <w:rPr>
          <w:sz w:val="28"/>
          <w:szCs w:val="28"/>
        </w:rPr>
        <w:instrText xml:space="preserve"> FORMTEXT </w:instrText>
      </w:r>
      <w:r w:rsidR="004904DE">
        <w:rPr>
          <w:sz w:val="28"/>
          <w:szCs w:val="28"/>
        </w:rPr>
      </w:r>
      <w:r w:rsidR="004904DE">
        <w:rPr>
          <w:sz w:val="28"/>
          <w:szCs w:val="28"/>
        </w:rPr>
        <w:fldChar w:fldCharType="separate"/>
      </w:r>
      <w:r w:rsidR="00734AB8">
        <w:rPr>
          <w:noProof/>
          <w:sz w:val="28"/>
          <w:szCs w:val="28"/>
        </w:rPr>
        <w:t>1</w:t>
      </w:r>
      <w:r w:rsidR="004904DE">
        <w:rPr>
          <w:sz w:val="28"/>
          <w:szCs w:val="28"/>
        </w:rPr>
        <w:fldChar w:fldCharType="end"/>
      </w:r>
      <w:bookmarkEnd w:id="4"/>
    </w:p>
    <w:p w14:paraId="0396165B" w14:textId="306C2277" w:rsidR="003D6EAD" w:rsidRPr="000863FE" w:rsidRDefault="003D6EAD" w:rsidP="003D6EAD">
      <w:pPr>
        <w:tabs>
          <w:tab w:val="left" w:pos="7920"/>
        </w:tabs>
        <w:rPr>
          <w:szCs w:val="24"/>
        </w:rPr>
      </w:pPr>
      <w:r w:rsidRPr="000863FE">
        <w:rPr>
          <w:szCs w:val="24"/>
        </w:rPr>
        <w:t>Description:</w:t>
      </w:r>
      <w:r w:rsidR="00BC6455" w:rsidRPr="000863FE">
        <w:rPr>
          <w:szCs w:val="24"/>
        </w:rPr>
        <w:t xml:space="preserve"> </w:t>
      </w:r>
      <w:r w:rsidR="00C6596D" w:rsidRPr="000863FE">
        <w:rPr>
          <w:szCs w:val="24"/>
        </w:rPr>
        <w:t>‘Do Nothing’ – Do not implement secondary legislation mandating the online display of FHR stickers, continue with the voluntary scheme</w:t>
      </w:r>
    </w:p>
    <w:p w14:paraId="06F8C008" w14:textId="77777777" w:rsidR="003D6EAD" w:rsidRDefault="003D6EAD" w:rsidP="003D6EAD">
      <w:pPr>
        <w:tabs>
          <w:tab w:val="left" w:pos="7920"/>
        </w:tabs>
        <w:rPr>
          <w:sz w:val="22"/>
          <w:szCs w:val="22"/>
        </w:rPr>
      </w:pPr>
    </w:p>
    <w:p w14:paraId="0FEBA7CF" w14:textId="07900DDC" w:rsidR="003D6EAD" w:rsidRDefault="003D6EAD" w:rsidP="006647A3">
      <w:pPr>
        <w:pStyle w:val="Heading2"/>
      </w:pPr>
      <w:r w:rsidRPr="003D6EAD">
        <w:t>ECONOMIC ASSESSMENT</w:t>
      </w:r>
      <w:r w:rsidR="00CC0939">
        <w:t xml:space="preserve"> (Option </w:t>
      </w:r>
      <w:r w:rsidR="00E60FD5">
        <w:rPr>
          <w:sz w:val="20"/>
        </w:rPr>
        <w:t>1</w:t>
      </w:r>
      <w:r w:rsidR="00AA4ABF">
        <w:t>)</w:t>
      </w:r>
    </w:p>
    <w:p w14:paraId="3C705796" w14:textId="3CDCE4D7" w:rsidR="00704C19" w:rsidRDefault="00704C19" w:rsidP="003D6EAD">
      <w:pPr>
        <w:tabs>
          <w:tab w:val="left" w:pos="7920"/>
        </w:tabs>
        <w:rPr>
          <w:b/>
          <w:sz w:val="22"/>
          <w:szCs w:val="22"/>
        </w:rPr>
      </w:pPr>
    </w:p>
    <w:p w14:paraId="0143F3A9" w14:textId="26E74EEC" w:rsidR="00704C19" w:rsidRDefault="00704C19" w:rsidP="003D6EAD">
      <w:pPr>
        <w:tabs>
          <w:tab w:val="left" w:pos="7920"/>
        </w:tabs>
        <w:rPr>
          <w:b/>
          <w:sz w:val="22"/>
          <w:szCs w:val="22"/>
        </w:rPr>
      </w:pPr>
    </w:p>
    <w:tbl>
      <w:tblPr>
        <w:tblStyle w:val="TableGrid"/>
        <w:tblW w:w="0" w:type="auto"/>
        <w:tblLook w:val="04A0" w:firstRow="1" w:lastRow="0" w:firstColumn="1" w:lastColumn="0" w:noHBand="0" w:noVBand="1"/>
      </w:tblPr>
      <w:tblGrid>
        <w:gridCol w:w="2014"/>
        <w:gridCol w:w="2376"/>
        <w:gridCol w:w="1652"/>
        <w:gridCol w:w="2014"/>
        <w:gridCol w:w="2014"/>
      </w:tblGrid>
      <w:tr w:rsidR="00ED2911" w14:paraId="660C0F1F" w14:textId="77777777" w:rsidTr="00ED2911">
        <w:tc>
          <w:tcPr>
            <w:tcW w:w="2014" w:type="dxa"/>
          </w:tcPr>
          <w:p w14:paraId="6F580A08" w14:textId="5D4BA2ED" w:rsidR="00ED2911" w:rsidRDefault="00ED2911" w:rsidP="00ED2911">
            <w:pPr>
              <w:tabs>
                <w:tab w:val="left" w:pos="7920"/>
              </w:tabs>
              <w:rPr>
                <w:b/>
                <w:sz w:val="22"/>
                <w:szCs w:val="22"/>
              </w:rPr>
            </w:pPr>
            <w:r w:rsidRPr="000863FE">
              <w:rPr>
                <w:b/>
                <w:szCs w:val="24"/>
              </w:rPr>
              <w:t>Costs (£m)</w:t>
            </w:r>
          </w:p>
        </w:tc>
        <w:tc>
          <w:tcPr>
            <w:tcW w:w="2376" w:type="dxa"/>
          </w:tcPr>
          <w:p w14:paraId="502C63C7" w14:textId="77777777" w:rsidR="00ED2911" w:rsidRDefault="00ED2911" w:rsidP="00ED2911">
            <w:pPr>
              <w:tabs>
                <w:tab w:val="left" w:pos="7920"/>
              </w:tabs>
              <w:rPr>
                <w:b/>
                <w:szCs w:val="24"/>
              </w:rPr>
            </w:pPr>
            <w:r w:rsidRPr="000863FE">
              <w:rPr>
                <w:b/>
                <w:szCs w:val="24"/>
              </w:rPr>
              <w:t>Total Transitional (Policy)</w:t>
            </w:r>
          </w:p>
          <w:p w14:paraId="1F85CD78" w14:textId="51FCB87C" w:rsidR="00ED2911" w:rsidRDefault="00ED2911" w:rsidP="00ED2911">
            <w:pPr>
              <w:tabs>
                <w:tab w:val="left" w:pos="7920"/>
              </w:tabs>
              <w:rPr>
                <w:b/>
                <w:sz w:val="22"/>
                <w:szCs w:val="22"/>
              </w:rPr>
            </w:pPr>
            <w:r w:rsidRPr="000863FE">
              <w:rPr>
                <w:szCs w:val="24"/>
              </w:rPr>
              <w:t>(constant price)</w:t>
            </w:r>
          </w:p>
        </w:tc>
        <w:tc>
          <w:tcPr>
            <w:tcW w:w="1652" w:type="dxa"/>
          </w:tcPr>
          <w:p w14:paraId="04025932" w14:textId="77777777" w:rsidR="00ED2911" w:rsidRDefault="00ED2911" w:rsidP="00ED2911">
            <w:pPr>
              <w:tabs>
                <w:tab w:val="left" w:pos="7920"/>
              </w:tabs>
              <w:rPr>
                <w:b/>
                <w:sz w:val="22"/>
                <w:szCs w:val="22"/>
              </w:rPr>
            </w:pPr>
          </w:p>
          <w:p w14:paraId="388D7BEA" w14:textId="77777777" w:rsidR="00ED2911" w:rsidRDefault="00ED2911" w:rsidP="00ED2911">
            <w:pPr>
              <w:tabs>
                <w:tab w:val="left" w:pos="7920"/>
              </w:tabs>
              <w:rPr>
                <w:b/>
                <w:sz w:val="22"/>
                <w:szCs w:val="22"/>
              </w:rPr>
            </w:pPr>
          </w:p>
          <w:p w14:paraId="6B28321C" w14:textId="0A8F23FE" w:rsidR="00ED2911" w:rsidRPr="00ED2911" w:rsidRDefault="00ED2911" w:rsidP="00ED2911">
            <w:pPr>
              <w:tabs>
                <w:tab w:val="left" w:pos="7920"/>
              </w:tabs>
              <w:rPr>
                <w:bCs/>
                <w:sz w:val="22"/>
                <w:szCs w:val="22"/>
              </w:rPr>
            </w:pPr>
            <w:r w:rsidRPr="00ED2911">
              <w:rPr>
                <w:bCs/>
                <w:sz w:val="22"/>
                <w:szCs w:val="22"/>
              </w:rPr>
              <w:t>Years</w:t>
            </w:r>
          </w:p>
        </w:tc>
        <w:tc>
          <w:tcPr>
            <w:tcW w:w="2014" w:type="dxa"/>
          </w:tcPr>
          <w:p w14:paraId="3B87EF9F" w14:textId="77777777" w:rsidR="00ED2911" w:rsidRDefault="00ED2911" w:rsidP="00ED2911">
            <w:pPr>
              <w:tabs>
                <w:tab w:val="left" w:pos="7920"/>
              </w:tabs>
              <w:rPr>
                <w:b/>
                <w:szCs w:val="24"/>
              </w:rPr>
            </w:pPr>
            <w:r w:rsidRPr="000863FE">
              <w:rPr>
                <w:b/>
                <w:szCs w:val="24"/>
              </w:rPr>
              <w:t>Average Annual (recurring)</w:t>
            </w:r>
          </w:p>
          <w:p w14:paraId="00173AE3" w14:textId="69006FD1" w:rsidR="00ED2911" w:rsidRDefault="00ED2911" w:rsidP="00ED2911">
            <w:pPr>
              <w:tabs>
                <w:tab w:val="left" w:pos="7920"/>
              </w:tabs>
              <w:rPr>
                <w:b/>
                <w:sz w:val="22"/>
                <w:szCs w:val="22"/>
              </w:rPr>
            </w:pPr>
            <w:r w:rsidRPr="000863FE">
              <w:rPr>
                <w:szCs w:val="24"/>
              </w:rPr>
              <w:t>(excl. transitional) (constant price)</w:t>
            </w:r>
          </w:p>
        </w:tc>
        <w:tc>
          <w:tcPr>
            <w:tcW w:w="2014" w:type="dxa"/>
          </w:tcPr>
          <w:p w14:paraId="163ABA5C" w14:textId="29D91A47" w:rsidR="00ED2911" w:rsidRDefault="00ED2911" w:rsidP="00ED2911">
            <w:pPr>
              <w:tabs>
                <w:tab w:val="left" w:pos="7920"/>
              </w:tabs>
              <w:rPr>
                <w:b/>
                <w:sz w:val="22"/>
                <w:szCs w:val="22"/>
              </w:rPr>
            </w:pPr>
            <w:r w:rsidRPr="000863FE">
              <w:rPr>
                <w:b/>
                <w:szCs w:val="24"/>
              </w:rPr>
              <w:t>Total Cost</w:t>
            </w:r>
            <w:r>
              <w:rPr>
                <w:b/>
                <w:szCs w:val="24"/>
              </w:rPr>
              <w:t xml:space="preserve"> </w:t>
            </w:r>
            <w:r w:rsidRPr="00ED2911">
              <w:rPr>
                <w:bCs/>
                <w:szCs w:val="24"/>
              </w:rPr>
              <w:t>(Present Value)</w:t>
            </w:r>
          </w:p>
        </w:tc>
      </w:tr>
      <w:tr w:rsidR="00ED2911" w14:paraId="7248D93A" w14:textId="77777777" w:rsidTr="00605BAD">
        <w:tc>
          <w:tcPr>
            <w:tcW w:w="2014" w:type="dxa"/>
          </w:tcPr>
          <w:p w14:paraId="77AD0C7E" w14:textId="2559DD28" w:rsidR="00ED2911" w:rsidRDefault="00ED2911" w:rsidP="00ED2911">
            <w:pPr>
              <w:tabs>
                <w:tab w:val="left" w:pos="7920"/>
              </w:tabs>
              <w:rPr>
                <w:b/>
                <w:sz w:val="22"/>
                <w:szCs w:val="22"/>
              </w:rPr>
            </w:pPr>
            <w:r w:rsidRPr="000863FE">
              <w:rPr>
                <w:b/>
                <w:szCs w:val="24"/>
              </w:rPr>
              <w:t>Low</w:t>
            </w:r>
          </w:p>
        </w:tc>
        <w:tc>
          <w:tcPr>
            <w:tcW w:w="2376" w:type="dxa"/>
            <w:vAlign w:val="center"/>
          </w:tcPr>
          <w:p w14:paraId="44C52B8B" w14:textId="6C3441E2" w:rsidR="00ED2911" w:rsidRDefault="00ED2911" w:rsidP="00ED2911">
            <w:pPr>
              <w:tabs>
                <w:tab w:val="left" w:pos="7920"/>
              </w:tabs>
              <w:rPr>
                <w:b/>
                <w:sz w:val="22"/>
                <w:szCs w:val="22"/>
              </w:rPr>
            </w:pPr>
            <w:r w:rsidRPr="000863FE">
              <w:rPr>
                <w:b/>
                <w:szCs w:val="24"/>
              </w:rPr>
              <w:fldChar w:fldCharType="begin">
                <w:ffData>
                  <w:name w:val="Text29"/>
                  <w:enabled/>
                  <w:calcOnExit w:val="0"/>
                  <w:textInput/>
                </w:ffData>
              </w:fldChar>
            </w:r>
            <w:r w:rsidRPr="000863FE">
              <w:rPr>
                <w:b/>
                <w:szCs w:val="24"/>
              </w:rPr>
              <w:instrText xml:space="preserve"> FORMTEXT </w:instrText>
            </w:r>
            <w:r w:rsidRPr="000863FE">
              <w:rPr>
                <w:b/>
                <w:szCs w:val="24"/>
              </w:rPr>
            </w:r>
            <w:r w:rsidRPr="000863FE">
              <w:rPr>
                <w:b/>
                <w:szCs w:val="24"/>
              </w:rPr>
              <w:fldChar w:fldCharType="separate"/>
            </w:r>
            <w:r w:rsidRPr="000863FE">
              <w:rPr>
                <w:b/>
                <w:szCs w:val="24"/>
              </w:rPr>
              <w:t> </w:t>
            </w:r>
            <w:r w:rsidRPr="000863FE">
              <w:rPr>
                <w:b/>
                <w:szCs w:val="24"/>
              </w:rPr>
              <w:t> </w:t>
            </w:r>
            <w:r w:rsidRPr="000863FE">
              <w:rPr>
                <w:b/>
                <w:szCs w:val="24"/>
              </w:rPr>
              <w:t> </w:t>
            </w:r>
            <w:r w:rsidRPr="000863FE">
              <w:rPr>
                <w:b/>
                <w:szCs w:val="24"/>
              </w:rPr>
              <w:t> </w:t>
            </w:r>
            <w:r w:rsidRPr="000863FE">
              <w:rPr>
                <w:b/>
                <w:szCs w:val="24"/>
              </w:rPr>
              <w:t> </w:t>
            </w:r>
            <w:r w:rsidRPr="000863FE">
              <w:rPr>
                <w:b/>
                <w:szCs w:val="24"/>
              </w:rPr>
              <w:fldChar w:fldCharType="end"/>
            </w:r>
            <w:r w:rsidRPr="000863FE">
              <w:rPr>
                <w:b/>
                <w:szCs w:val="24"/>
              </w:rPr>
              <w:t>Optional</w:t>
            </w:r>
          </w:p>
        </w:tc>
        <w:tc>
          <w:tcPr>
            <w:tcW w:w="1652" w:type="dxa"/>
          </w:tcPr>
          <w:p w14:paraId="5B245161" w14:textId="18981701" w:rsidR="00ED2911" w:rsidRDefault="00ED2911" w:rsidP="00ED2911">
            <w:pPr>
              <w:tabs>
                <w:tab w:val="left" w:pos="7920"/>
              </w:tabs>
              <w:rPr>
                <w:b/>
                <w:sz w:val="22"/>
                <w:szCs w:val="22"/>
              </w:rPr>
            </w:pPr>
            <w:r>
              <w:rPr>
                <w:b/>
                <w:sz w:val="22"/>
                <w:szCs w:val="22"/>
              </w:rPr>
              <w:t>10</w:t>
            </w:r>
          </w:p>
        </w:tc>
        <w:tc>
          <w:tcPr>
            <w:tcW w:w="2014" w:type="dxa"/>
            <w:vAlign w:val="center"/>
          </w:tcPr>
          <w:p w14:paraId="1B52E6EF" w14:textId="417D550E" w:rsidR="00ED2911" w:rsidRDefault="00ED2911" w:rsidP="00ED2911">
            <w:pPr>
              <w:tabs>
                <w:tab w:val="left" w:pos="7920"/>
              </w:tabs>
              <w:rPr>
                <w:b/>
                <w:sz w:val="22"/>
                <w:szCs w:val="22"/>
              </w:rPr>
            </w:pPr>
            <w:r w:rsidRPr="000863FE">
              <w:rPr>
                <w:b/>
                <w:szCs w:val="24"/>
              </w:rPr>
              <w:fldChar w:fldCharType="begin">
                <w:ffData>
                  <w:name w:val="Text32"/>
                  <w:enabled/>
                  <w:calcOnExit w:val="0"/>
                  <w:textInput/>
                </w:ffData>
              </w:fldChar>
            </w:r>
            <w:r w:rsidRPr="000863FE">
              <w:rPr>
                <w:b/>
                <w:szCs w:val="24"/>
              </w:rPr>
              <w:instrText xml:space="preserve"> FORMTEXT </w:instrText>
            </w:r>
            <w:r w:rsidRPr="000863FE">
              <w:rPr>
                <w:b/>
                <w:szCs w:val="24"/>
              </w:rPr>
            </w:r>
            <w:r w:rsidRPr="000863FE">
              <w:rPr>
                <w:b/>
                <w:szCs w:val="24"/>
              </w:rPr>
              <w:fldChar w:fldCharType="separate"/>
            </w:r>
            <w:r w:rsidRPr="000863FE">
              <w:rPr>
                <w:b/>
                <w:szCs w:val="24"/>
              </w:rPr>
              <w:t> </w:t>
            </w:r>
            <w:r w:rsidRPr="000863FE">
              <w:rPr>
                <w:b/>
                <w:szCs w:val="24"/>
              </w:rPr>
              <w:t> </w:t>
            </w:r>
            <w:r w:rsidRPr="000863FE">
              <w:rPr>
                <w:b/>
                <w:szCs w:val="24"/>
              </w:rPr>
              <w:t> </w:t>
            </w:r>
            <w:r w:rsidRPr="000863FE">
              <w:rPr>
                <w:b/>
                <w:szCs w:val="24"/>
              </w:rPr>
              <w:t> </w:t>
            </w:r>
            <w:r w:rsidRPr="000863FE">
              <w:rPr>
                <w:b/>
                <w:szCs w:val="24"/>
              </w:rPr>
              <w:t> </w:t>
            </w:r>
            <w:r w:rsidRPr="000863FE">
              <w:rPr>
                <w:b/>
                <w:szCs w:val="24"/>
              </w:rPr>
              <w:fldChar w:fldCharType="end"/>
            </w:r>
            <w:r w:rsidRPr="000863FE">
              <w:rPr>
                <w:b/>
                <w:szCs w:val="24"/>
              </w:rPr>
              <w:t>Optional</w:t>
            </w:r>
          </w:p>
        </w:tc>
        <w:tc>
          <w:tcPr>
            <w:tcW w:w="2014" w:type="dxa"/>
            <w:vAlign w:val="center"/>
          </w:tcPr>
          <w:p w14:paraId="5672197E" w14:textId="0034C338" w:rsidR="00ED2911" w:rsidRDefault="00ED2911" w:rsidP="00ED2911">
            <w:pPr>
              <w:tabs>
                <w:tab w:val="left" w:pos="7920"/>
              </w:tabs>
              <w:rPr>
                <w:b/>
                <w:sz w:val="22"/>
                <w:szCs w:val="22"/>
              </w:rPr>
            </w:pPr>
            <w:r w:rsidRPr="000863FE">
              <w:rPr>
                <w:b/>
                <w:szCs w:val="24"/>
              </w:rPr>
              <w:fldChar w:fldCharType="begin">
                <w:ffData>
                  <w:name w:val="Text33"/>
                  <w:enabled/>
                  <w:calcOnExit w:val="0"/>
                  <w:textInput/>
                </w:ffData>
              </w:fldChar>
            </w:r>
            <w:r w:rsidRPr="000863FE">
              <w:rPr>
                <w:b/>
                <w:szCs w:val="24"/>
              </w:rPr>
              <w:instrText xml:space="preserve"> FORMTEXT </w:instrText>
            </w:r>
            <w:r w:rsidRPr="000863FE">
              <w:rPr>
                <w:b/>
                <w:szCs w:val="24"/>
              </w:rPr>
            </w:r>
            <w:r w:rsidRPr="000863FE">
              <w:rPr>
                <w:b/>
                <w:szCs w:val="24"/>
              </w:rPr>
              <w:fldChar w:fldCharType="separate"/>
            </w:r>
            <w:r w:rsidRPr="000863FE">
              <w:rPr>
                <w:b/>
                <w:szCs w:val="24"/>
              </w:rPr>
              <w:t> </w:t>
            </w:r>
            <w:r w:rsidRPr="000863FE">
              <w:rPr>
                <w:b/>
                <w:szCs w:val="24"/>
              </w:rPr>
              <w:t> </w:t>
            </w:r>
            <w:r w:rsidRPr="000863FE">
              <w:rPr>
                <w:b/>
                <w:szCs w:val="24"/>
              </w:rPr>
              <w:t> </w:t>
            </w:r>
            <w:r w:rsidRPr="000863FE">
              <w:rPr>
                <w:b/>
                <w:szCs w:val="24"/>
              </w:rPr>
              <w:t> </w:t>
            </w:r>
            <w:r w:rsidRPr="000863FE">
              <w:rPr>
                <w:b/>
                <w:szCs w:val="24"/>
              </w:rPr>
              <w:t> </w:t>
            </w:r>
            <w:r w:rsidRPr="000863FE">
              <w:rPr>
                <w:b/>
                <w:szCs w:val="24"/>
              </w:rPr>
              <w:fldChar w:fldCharType="end"/>
            </w:r>
            <w:r w:rsidRPr="000863FE">
              <w:rPr>
                <w:b/>
                <w:szCs w:val="24"/>
              </w:rPr>
              <w:t>Optional</w:t>
            </w:r>
          </w:p>
        </w:tc>
      </w:tr>
      <w:tr w:rsidR="00ED2911" w14:paraId="503F70E9" w14:textId="77777777" w:rsidTr="00605BAD">
        <w:tc>
          <w:tcPr>
            <w:tcW w:w="2014" w:type="dxa"/>
          </w:tcPr>
          <w:p w14:paraId="6FC279D5" w14:textId="03860A4C" w:rsidR="00ED2911" w:rsidRDefault="00ED2911" w:rsidP="00ED2911">
            <w:pPr>
              <w:tabs>
                <w:tab w:val="left" w:pos="7920"/>
              </w:tabs>
              <w:rPr>
                <w:b/>
                <w:sz w:val="22"/>
                <w:szCs w:val="22"/>
              </w:rPr>
            </w:pPr>
            <w:r w:rsidRPr="000863FE">
              <w:rPr>
                <w:b/>
                <w:szCs w:val="24"/>
              </w:rPr>
              <w:t>High</w:t>
            </w:r>
          </w:p>
        </w:tc>
        <w:tc>
          <w:tcPr>
            <w:tcW w:w="2376" w:type="dxa"/>
            <w:vAlign w:val="center"/>
          </w:tcPr>
          <w:p w14:paraId="12C8D2A6" w14:textId="2BD07B3B" w:rsidR="00ED2911" w:rsidRDefault="00ED2911" w:rsidP="00ED2911">
            <w:pPr>
              <w:tabs>
                <w:tab w:val="left" w:pos="7920"/>
              </w:tabs>
              <w:rPr>
                <w:b/>
                <w:sz w:val="22"/>
                <w:szCs w:val="22"/>
              </w:rPr>
            </w:pPr>
            <w:r w:rsidRPr="000863FE">
              <w:rPr>
                <w:b/>
                <w:szCs w:val="24"/>
              </w:rPr>
              <w:fldChar w:fldCharType="begin">
                <w:ffData>
                  <w:name w:val="Text30"/>
                  <w:enabled/>
                  <w:calcOnExit w:val="0"/>
                  <w:textInput/>
                </w:ffData>
              </w:fldChar>
            </w:r>
            <w:r w:rsidRPr="000863FE">
              <w:rPr>
                <w:b/>
                <w:szCs w:val="24"/>
              </w:rPr>
              <w:instrText xml:space="preserve"> FORMTEXT </w:instrText>
            </w:r>
            <w:r w:rsidRPr="000863FE">
              <w:rPr>
                <w:b/>
                <w:szCs w:val="24"/>
              </w:rPr>
            </w:r>
            <w:r w:rsidRPr="000863FE">
              <w:rPr>
                <w:b/>
                <w:szCs w:val="24"/>
              </w:rPr>
              <w:fldChar w:fldCharType="separate"/>
            </w:r>
            <w:r w:rsidRPr="000863FE">
              <w:rPr>
                <w:b/>
                <w:szCs w:val="24"/>
              </w:rPr>
              <w:t> </w:t>
            </w:r>
            <w:r w:rsidRPr="000863FE">
              <w:rPr>
                <w:b/>
                <w:szCs w:val="24"/>
              </w:rPr>
              <w:t> </w:t>
            </w:r>
            <w:r w:rsidRPr="000863FE">
              <w:rPr>
                <w:b/>
                <w:szCs w:val="24"/>
              </w:rPr>
              <w:t> </w:t>
            </w:r>
            <w:r w:rsidRPr="000863FE">
              <w:rPr>
                <w:b/>
                <w:szCs w:val="24"/>
              </w:rPr>
              <w:t> </w:t>
            </w:r>
            <w:r w:rsidRPr="000863FE">
              <w:rPr>
                <w:b/>
                <w:szCs w:val="24"/>
              </w:rPr>
              <w:t> </w:t>
            </w:r>
            <w:r w:rsidRPr="000863FE">
              <w:rPr>
                <w:b/>
                <w:szCs w:val="24"/>
              </w:rPr>
              <w:fldChar w:fldCharType="end"/>
            </w:r>
            <w:r w:rsidRPr="000863FE">
              <w:rPr>
                <w:b/>
                <w:szCs w:val="24"/>
              </w:rPr>
              <w:t>Optional</w:t>
            </w:r>
          </w:p>
        </w:tc>
        <w:tc>
          <w:tcPr>
            <w:tcW w:w="1652" w:type="dxa"/>
          </w:tcPr>
          <w:p w14:paraId="3D45DDEE" w14:textId="19FCBC10" w:rsidR="00ED2911" w:rsidRDefault="00ED2911" w:rsidP="00ED2911">
            <w:pPr>
              <w:tabs>
                <w:tab w:val="left" w:pos="7920"/>
              </w:tabs>
              <w:rPr>
                <w:b/>
                <w:sz w:val="22"/>
                <w:szCs w:val="22"/>
              </w:rPr>
            </w:pPr>
            <w:r>
              <w:rPr>
                <w:b/>
                <w:sz w:val="22"/>
                <w:szCs w:val="22"/>
              </w:rPr>
              <w:t>10</w:t>
            </w:r>
          </w:p>
        </w:tc>
        <w:tc>
          <w:tcPr>
            <w:tcW w:w="2014" w:type="dxa"/>
            <w:vAlign w:val="center"/>
          </w:tcPr>
          <w:p w14:paraId="3C5FD312" w14:textId="0331F99D" w:rsidR="00ED2911" w:rsidRDefault="00ED2911" w:rsidP="00ED2911">
            <w:pPr>
              <w:tabs>
                <w:tab w:val="left" w:pos="7920"/>
              </w:tabs>
              <w:rPr>
                <w:b/>
                <w:sz w:val="22"/>
                <w:szCs w:val="22"/>
              </w:rPr>
            </w:pPr>
            <w:r w:rsidRPr="000863FE">
              <w:rPr>
                <w:b/>
                <w:szCs w:val="24"/>
              </w:rPr>
              <w:fldChar w:fldCharType="begin">
                <w:ffData>
                  <w:name w:val="Text31"/>
                  <w:enabled/>
                  <w:calcOnExit w:val="0"/>
                  <w:textInput/>
                </w:ffData>
              </w:fldChar>
            </w:r>
            <w:r w:rsidRPr="000863FE">
              <w:rPr>
                <w:b/>
                <w:szCs w:val="24"/>
              </w:rPr>
              <w:instrText xml:space="preserve"> FORMTEXT </w:instrText>
            </w:r>
            <w:r w:rsidRPr="000863FE">
              <w:rPr>
                <w:b/>
                <w:szCs w:val="24"/>
              </w:rPr>
            </w:r>
            <w:r w:rsidRPr="000863FE">
              <w:rPr>
                <w:b/>
                <w:szCs w:val="24"/>
              </w:rPr>
              <w:fldChar w:fldCharType="separate"/>
            </w:r>
            <w:r w:rsidRPr="000863FE">
              <w:rPr>
                <w:b/>
                <w:szCs w:val="24"/>
              </w:rPr>
              <w:t> </w:t>
            </w:r>
            <w:r w:rsidRPr="000863FE">
              <w:rPr>
                <w:b/>
                <w:szCs w:val="24"/>
              </w:rPr>
              <w:t> </w:t>
            </w:r>
            <w:r w:rsidRPr="000863FE">
              <w:rPr>
                <w:b/>
                <w:szCs w:val="24"/>
              </w:rPr>
              <w:t> </w:t>
            </w:r>
            <w:r w:rsidRPr="000863FE">
              <w:rPr>
                <w:b/>
                <w:szCs w:val="24"/>
              </w:rPr>
              <w:t> </w:t>
            </w:r>
            <w:r w:rsidRPr="000863FE">
              <w:rPr>
                <w:b/>
                <w:szCs w:val="24"/>
              </w:rPr>
              <w:t> </w:t>
            </w:r>
            <w:r w:rsidRPr="000863FE">
              <w:rPr>
                <w:b/>
                <w:szCs w:val="24"/>
              </w:rPr>
              <w:fldChar w:fldCharType="end"/>
            </w:r>
            <w:r w:rsidRPr="000863FE">
              <w:rPr>
                <w:b/>
                <w:szCs w:val="24"/>
              </w:rPr>
              <w:t>Optional</w:t>
            </w:r>
          </w:p>
        </w:tc>
        <w:tc>
          <w:tcPr>
            <w:tcW w:w="2014" w:type="dxa"/>
            <w:vAlign w:val="center"/>
          </w:tcPr>
          <w:p w14:paraId="43312AB0" w14:textId="2F41AD57" w:rsidR="00ED2911" w:rsidRDefault="00ED2911" w:rsidP="00ED2911">
            <w:pPr>
              <w:tabs>
                <w:tab w:val="left" w:pos="7920"/>
              </w:tabs>
              <w:rPr>
                <w:b/>
                <w:sz w:val="22"/>
                <w:szCs w:val="22"/>
              </w:rPr>
            </w:pPr>
            <w:r w:rsidRPr="000863FE">
              <w:rPr>
                <w:b/>
                <w:szCs w:val="24"/>
              </w:rPr>
              <w:fldChar w:fldCharType="begin">
                <w:ffData>
                  <w:name w:val="Text34"/>
                  <w:enabled/>
                  <w:calcOnExit w:val="0"/>
                  <w:textInput/>
                </w:ffData>
              </w:fldChar>
            </w:r>
            <w:r w:rsidRPr="000863FE">
              <w:rPr>
                <w:b/>
                <w:szCs w:val="24"/>
              </w:rPr>
              <w:instrText xml:space="preserve"> FORMTEXT </w:instrText>
            </w:r>
            <w:r w:rsidRPr="000863FE">
              <w:rPr>
                <w:b/>
                <w:szCs w:val="24"/>
              </w:rPr>
            </w:r>
            <w:r w:rsidRPr="000863FE">
              <w:rPr>
                <w:b/>
                <w:szCs w:val="24"/>
              </w:rPr>
              <w:fldChar w:fldCharType="separate"/>
            </w:r>
            <w:r w:rsidRPr="000863FE">
              <w:rPr>
                <w:b/>
                <w:szCs w:val="24"/>
              </w:rPr>
              <w:t> </w:t>
            </w:r>
            <w:r w:rsidRPr="000863FE">
              <w:rPr>
                <w:b/>
                <w:szCs w:val="24"/>
              </w:rPr>
              <w:t> </w:t>
            </w:r>
            <w:r w:rsidRPr="000863FE">
              <w:rPr>
                <w:b/>
                <w:szCs w:val="24"/>
              </w:rPr>
              <w:t> </w:t>
            </w:r>
            <w:r w:rsidRPr="000863FE">
              <w:rPr>
                <w:b/>
                <w:szCs w:val="24"/>
              </w:rPr>
              <w:t> </w:t>
            </w:r>
            <w:r w:rsidRPr="000863FE">
              <w:rPr>
                <w:b/>
                <w:szCs w:val="24"/>
              </w:rPr>
              <w:t> </w:t>
            </w:r>
            <w:r w:rsidRPr="000863FE">
              <w:rPr>
                <w:b/>
                <w:szCs w:val="24"/>
              </w:rPr>
              <w:fldChar w:fldCharType="end"/>
            </w:r>
            <w:r w:rsidRPr="000863FE">
              <w:rPr>
                <w:b/>
                <w:szCs w:val="24"/>
              </w:rPr>
              <w:t>Optional</w:t>
            </w:r>
          </w:p>
        </w:tc>
      </w:tr>
      <w:tr w:rsidR="00ED2911" w14:paraId="3083421F" w14:textId="77777777" w:rsidTr="00ED2911">
        <w:tc>
          <w:tcPr>
            <w:tcW w:w="2014" w:type="dxa"/>
          </w:tcPr>
          <w:p w14:paraId="2CDB85B8" w14:textId="4845B304" w:rsidR="00ED2911" w:rsidRDefault="00ED2911" w:rsidP="00ED2911">
            <w:pPr>
              <w:tabs>
                <w:tab w:val="left" w:pos="7920"/>
              </w:tabs>
              <w:rPr>
                <w:b/>
                <w:sz w:val="22"/>
                <w:szCs w:val="22"/>
              </w:rPr>
            </w:pPr>
            <w:r w:rsidRPr="000863FE">
              <w:rPr>
                <w:b/>
                <w:szCs w:val="24"/>
              </w:rPr>
              <w:t>Best Estimate</w:t>
            </w:r>
          </w:p>
        </w:tc>
        <w:tc>
          <w:tcPr>
            <w:tcW w:w="2376" w:type="dxa"/>
          </w:tcPr>
          <w:p w14:paraId="7CA5ACF8" w14:textId="78145149" w:rsidR="00ED2911" w:rsidRDefault="00ED2911" w:rsidP="00ED2911">
            <w:pPr>
              <w:tabs>
                <w:tab w:val="left" w:pos="7920"/>
              </w:tabs>
              <w:rPr>
                <w:b/>
                <w:sz w:val="22"/>
                <w:szCs w:val="22"/>
              </w:rPr>
            </w:pPr>
            <w:r w:rsidRPr="000863FE">
              <w:rPr>
                <w:b/>
                <w:szCs w:val="24"/>
              </w:rPr>
              <w:t>N/A</w:t>
            </w:r>
          </w:p>
        </w:tc>
        <w:tc>
          <w:tcPr>
            <w:tcW w:w="1652" w:type="dxa"/>
          </w:tcPr>
          <w:p w14:paraId="7AE9B115" w14:textId="59296682" w:rsidR="00ED2911" w:rsidRDefault="00ED2911" w:rsidP="00ED2911">
            <w:pPr>
              <w:tabs>
                <w:tab w:val="left" w:pos="7920"/>
              </w:tabs>
              <w:rPr>
                <w:b/>
                <w:sz w:val="22"/>
                <w:szCs w:val="22"/>
              </w:rPr>
            </w:pPr>
          </w:p>
        </w:tc>
        <w:tc>
          <w:tcPr>
            <w:tcW w:w="2014" w:type="dxa"/>
          </w:tcPr>
          <w:p w14:paraId="723B70BB" w14:textId="0E31685D" w:rsidR="00ED2911" w:rsidRDefault="00ED2911" w:rsidP="00ED2911">
            <w:pPr>
              <w:tabs>
                <w:tab w:val="left" w:pos="7920"/>
              </w:tabs>
              <w:rPr>
                <w:b/>
                <w:sz w:val="22"/>
                <w:szCs w:val="22"/>
              </w:rPr>
            </w:pPr>
            <w:r w:rsidRPr="000863FE">
              <w:rPr>
                <w:b/>
                <w:szCs w:val="24"/>
              </w:rPr>
              <w:t>N/A</w:t>
            </w:r>
          </w:p>
        </w:tc>
        <w:tc>
          <w:tcPr>
            <w:tcW w:w="2014" w:type="dxa"/>
          </w:tcPr>
          <w:p w14:paraId="6D60AABF" w14:textId="187D6259" w:rsidR="00ED2911" w:rsidRDefault="00ED2911" w:rsidP="00ED2911">
            <w:pPr>
              <w:tabs>
                <w:tab w:val="left" w:pos="7920"/>
              </w:tabs>
              <w:rPr>
                <w:b/>
                <w:sz w:val="22"/>
                <w:szCs w:val="22"/>
              </w:rPr>
            </w:pPr>
            <w:r w:rsidRPr="000863FE">
              <w:rPr>
                <w:b/>
                <w:szCs w:val="24"/>
              </w:rPr>
              <w:t>N/A</w:t>
            </w:r>
          </w:p>
        </w:tc>
      </w:tr>
    </w:tbl>
    <w:p w14:paraId="12CB73E1" w14:textId="222929F0" w:rsidR="00704C19" w:rsidRDefault="00704C19" w:rsidP="003D6EAD">
      <w:pPr>
        <w:tabs>
          <w:tab w:val="left" w:pos="7920"/>
        </w:tabs>
        <w:rPr>
          <w:b/>
          <w:sz w:val="22"/>
          <w:szCs w:val="22"/>
        </w:rPr>
      </w:pPr>
    </w:p>
    <w:tbl>
      <w:tblPr>
        <w:tblStyle w:val="TableGrid"/>
        <w:tblW w:w="0" w:type="auto"/>
        <w:tblLook w:val="01E0" w:firstRow="1" w:lastRow="1" w:firstColumn="1" w:lastColumn="1" w:noHBand="0" w:noVBand="0"/>
      </w:tblPr>
      <w:tblGrid>
        <w:gridCol w:w="10070"/>
      </w:tblGrid>
      <w:tr w:rsidR="00ED2911" w:rsidRPr="000863FE" w14:paraId="56F8BD54" w14:textId="77777777" w:rsidTr="00520F9E">
        <w:trPr>
          <w:trHeight w:hRule="exact" w:val="1418"/>
        </w:trPr>
        <w:tc>
          <w:tcPr>
            <w:tcW w:w="10070" w:type="dxa"/>
          </w:tcPr>
          <w:p w14:paraId="120D627F" w14:textId="77777777" w:rsidR="00ED2911" w:rsidRPr="000863FE" w:rsidRDefault="00ED2911" w:rsidP="003424B3">
            <w:pPr>
              <w:tabs>
                <w:tab w:val="left" w:pos="7920"/>
              </w:tabs>
              <w:rPr>
                <w:szCs w:val="24"/>
              </w:rPr>
            </w:pPr>
            <w:r w:rsidRPr="000863FE">
              <w:rPr>
                <w:b/>
                <w:szCs w:val="24"/>
              </w:rPr>
              <w:t xml:space="preserve">Description and scale of key monetised costs by ‘main affected groups’ </w:t>
            </w:r>
            <w:r w:rsidRPr="000863FE">
              <w:rPr>
                <w:szCs w:val="24"/>
              </w:rPr>
              <w:t>Maximum 5 lines</w:t>
            </w:r>
          </w:p>
          <w:p w14:paraId="26885384" w14:textId="77777777" w:rsidR="00ED2911" w:rsidRPr="000863FE" w:rsidRDefault="00ED2911" w:rsidP="003424B3">
            <w:pPr>
              <w:tabs>
                <w:tab w:val="left" w:pos="7920"/>
              </w:tabs>
              <w:rPr>
                <w:szCs w:val="24"/>
              </w:rPr>
            </w:pPr>
            <w:r w:rsidRPr="000863FE">
              <w:rPr>
                <w:szCs w:val="24"/>
              </w:rPr>
              <w:t>There are no monetised costs or benefits associated with this option. This is the baseline against which all other options are appraised.</w:t>
            </w:r>
          </w:p>
        </w:tc>
      </w:tr>
      <w:tr w:rsidR="00ED2911" w:rsidRPr="000863FE" w14:paraId="709CD08A" w14:textId="77777777" w:rsidTr="00520F9E">
        <w:trPr>
          <w:trHeight w:hRule="exact" w:val="1826"/>
        </w:trPr>
        <w:tc>
          <w:tcPr>
            <w:tcW w:w="10070" w:type="dxa"/>
          </w:tcPr>
          <w:p w14:paraId="1F841935" w14:textId="77777777" w:rsidR="00ED2911" w:rsidRPr="000863FE" w:rsidRDefault="00ED2911" w:rsidP="003424B3">
            <w:pPr>
              <w:tabs>
                <w:tab w:val="left" w:pos="7920"/>
              </w:tabs>
              <w:rPr>
                <w:szCs w:val="24"/>
              </w:rPr>
            </w:pPr>
            <w:r w:rsidRPr="000863FE">
              <w:rPr>
                <w:b/>
                <w:szCs w:val="24"/>
              </w:rPr>
              <w:t xml:space="preserve">Other key non-monetised costs by ‘main affected groups’ </w:t>
            </w:r>
            <w:r w:rsidRPr="000863FE">
              <w:rPr>
                <w:szCs w:val="24"/>
              </w:rPr>
              <w:t>Maximum 5 lines</w:t>
            </w:r>
          </w:p>
          <w:p w14:paraId="29C7C9FE" w14:textId="77777777" w:rsidR="00ED2911" w:rsidRPr="000863FE" w:rsidRDefault="00ED2911" w:rsidP="003424B3">
            <w:pPr>
              <w:tabs>
                <w:tab w:val="left" w:pos="7920"/>
              </w:tabs>
              <w:rPr>
                <w:szCs w:val="24"/>
              </w:rPr>
            </w:pPr>
            <w:r w:rsidRPr="000863FE">
              <w:rPr>
                <w:b/>
                <w:bCs/>
                <w:szCs w:val="24"/>
              </w:rPr>
              <w:t>UK</w:t>
            </w:r>
            <w:r w:rsidRPr="000863FE">
              <w:rPr>
                <w:b/>
                <w:szCs w:val="24"/>
              </w:rPr>
              <w:t xml:space="preserve"> Society</w:t>
            </w:r>
            <w:r w:rsidRPr="000863FE">
              <w:rPr>
                <w:szCs w:val="24"/>
              </w:rPr>
              <w:t xml:space="preserve">: Consumers would continue to experience information asymmetry in the food ordering sector, with the FBO’s themselves continuing to have greater knowledge of their compliance levels than their customers. This would facilitate consumers continuing to make sub-optimal food ordering choices and exposing themselves to unnecessary and avoidable risk of foodborne disease </w:t>
            </w:r>
          </w:p>
        </w:tc>
      </w:tr>
    </w:tbl>
    <w:p w14:paraId="00C06C87" w14:textId="711024E5" w:rsidR="00ED2911" w:rsidRDefault="00ED2911" w:rsidP="003D6EAD">
      <w:pPr>
        <w:tabs>
          <w:tab w:val="left" w:pos="7920"/>
        </w:tabs>
        <w:rPr>
          <w:b/>
          <w:sz w:val="22"/>
          <w:szCs w:val="22"/>
        </w:rPr>
      </w:pPr>
    </w:p>
    <w:tbl>
      <w:tblPr>
        <w:tblStyle w:val="TableGrid"/>
        <w:tblW w:w="0" w:type="auto"/>
        <w:tblLook w:val="04A0" w:firstRow="1" w:lastRow="0" w:firstColumn="1" w:lastColumn="0" w:noHBand="0" w:noVBand="1"/>
      </w:tblPr>
      <w:tblGrid>
        <w:gridCol w:w="2014"/>
        <w:gridCol w:w="2376"/>
        <w:gridCol w:w="1652"/>
        <w:gridCol w:w="2014"/>
        <w:gridCol w:w="2014"/>
      </w:tblGrid>
      <w:tr w:rsidR="00ED2911" w14:paraId="030BBDDF" w14:textId="77777777" w:rsidTr="003424B3">
        <w:tc>
          <w:tcPr>
            <w:tcW w:w="2014" w:type="dxa"/>
          </w:tcPr>
          <w:p w14:paraId="551AEC5A" w14:textId="23682BC0" w:rsidR="00ED2911" w:rsidRDefault="00ED2911" w:rsidP="003424B3">
            <w:pPr>
              <w:tabs>
                <w:tab w:val="left" w:pos="7920"/>
              </w:tabs>
              <w:rPr>
                <w:b/>
                <w:sz w:val="22"/>
                <w:szCs w:val="22"/>
              </w:rPr>
            </w:pPr>
            <w:r>
              <w:rPr>
                <w:b/>
                <w:szCs w:val="24"/>
              </w:rPr>
              <w:t>Benefits</w:t>
            </w:r>
            <w:r w:rsidRPr="000863FE">
              <w:rPr>
                <w:b/>
                <w:szCs w:val="24"/>
              </w:rPr>
              <w:t xml:space="preserve"> (£m)</w:t>
            </w:r>
          </w:p>
        </w:tc>
        <w:tc>
          <w:tcPr>
            <w:tcW w:w="2376" w:type="dxa"/>
          </w:tcPr>
          <w:p w14:paraId="04EA0B6C" w14:textId="77777777" w:rsidR="00ED2911" w:rsidRDefault="00ED2911" w:rsidP="003424B3">
            <w:pPr>
              <w:tabs>
                <w:tab w:val="left" w:pos="7920"/>
              </w:tabs>
              <w:rPr>
                <w:b/>
                <w:szCs w:val="24"/>
              </w:rPr>
            </w:pPr>
            <w:r w:rsidRPr="000863FE">
              <w:rPr>
                <w:b/>
                <w:szCs w:val="24"/>
              </w:rPr>
              <w:t>Total Transitional (Policy)</w:t>
            </w:r>
          </w:p>
          <w:p w14:paraId="21C4CFBB" w14:textId="77777777" w:rsidR="00ED2911" w:rsidRDefault="00ED2911" w:rsidP="003424B3">
            <w:pPr>
              <w:tabs>
                <w:tab w:val="left" w:pos="7920"/>
              </w:tabs>
              <w:rPr>
                <w:b/>
                <w:sz w:val="22"/>
                <w:szCs w:val="22"/>
              </w:rPr>
            </w:pPr>
            <w:r w:rsidRPr="000863FE">
              <w:rPr>
                <w:szCs w:val="24"/>
              </w:rPr>
              <w:t>(constant price)</w:t>
            </w:r>
          </w:p>
        </w:tc>
        <w:tc>
          <w:tcPr>
            <w:tcW w:w="1652" w:type="dxa"/>
          </w:tcPr>
          <w:p w14:paraId="1661F3D5" w14:textId="77777777" w:rsidR="00ED2911" w:rsidRDefault="00ED2911" w:rsidP="003424B3">
            <w:pPr>
              <w:tabs>
                <w:tab w:val="left" w:pos="7920"/>
              </w:tabs>
              <w:rPr>
                <w:b/>
                <w:sz w:val="22"/>
                <w:szCs w:val="22"/>
              </w:rPr>
            </w:pPr>
          </w:p>
          <w:p w14:paraId="46D3DD03" w14:textId="77777777" w:rsidR="00ED2911" w:rsidRDefault="00ED2911" w:rsidP="003424B3">
            <w:pPr>
              <w:tabs>
                <w:tab w:val="left" w:pos="7920"/>
              </w:tabs>
              <w:rPr>
                <w:b/>
                <w:sz w:val="22"/>
                <w:szCs w:val="22"/>
              </w:rPr>
            </w:pPr>
          </w:p>
          <w:p w14:paraId="48D2A37E" w14:textId="77777777" w:rsidR="00ED2911" w:rsidRPr="00ED2911" w:rsidRDefault="00ED2911" w:rsidP="003424B3">
            <w:pPr>
              <w:tabs>
                <w:tab w:val="left" w:pos="7920"/>
              </w:tabs>
              <w:rPr>
                <w:bCs/>
                <w:sz w:val="22"/>
                <w:szCs w:val="22"/>
              </w:rPr>
            </w:pPr>
            <w:r w:rsidRPr="00ED2911">
              <w:rPr>
                <w:bCs/>
                <w:sz w:val="22"/>
                <w:szCs w:val="22"/>
              </w:rPr>
              <w:t>Years</w:t>
            </w:r>
          </w:p>
        </w:tc>
        <w:tc>
          <w:tcPr>
            <w:tcW w:w="2014" w:type="dxa"/>
          </w:tcPr>
          <w:p w14:paraId="53D6E5B9" w14:textId="77777777" w:rsidR="00ED2911" w:rsidRDefault="00ED2911" w:rsidP="003424B3">
            <w:pPr>
              <w:tabs>
                <w:tab w:val="left" w:pos="7920"/>
              </w:tabs>
              <w:rPr>
                <w:b/>
                <w:szCs w:val="24"/>
              </w:rPr>
            </w:pPr>
            <w:r w:rsidRPr="000863FE">
              <w:rPr>
                <w:b/>
                <w:szCs w:val="24"/>
              </w:rPr>
              <w:t>Average Annual (recurring)</w:t>
            </w:r>
          </w:p>
          <w:p w14:paraId="7637D8F3" w14:textId="77777777" w:rsidR="00ED2911" w:rsidRDefault="00ED2911" w:rsidP="003424B3">
            <w:pPr>
              <w:tabs>
                <w:tab w:val="left" w:pos="7920"/>
              </w:tabs>
              <w:rPr>
                <w:b/>
                <w:sz w:val="22"/>
                <w:szCs w:val="22"/>
              </w:rPr>
            </w:pPr>
            <w:r w:rsidRPr="000863FE">
              <w:rPr>
                <w:szCs w:val="24"/>
              </w:rPr>
              <w:t>(excl. transitional) (constant price)</w:t>
            </w:r>
          </w:p>
        </w:tc>
        <w:tc>
          <w:tcPr>
            <w:tcW w:w="2014" w:type="dxa"/>
          </w:tcPr>
          <w:p w14:paraId="578ACDF3" w14:textId="604835C3" w:rsidR="00ED2911" w:rsidRDefault="00ED2911" w:rsidP="003424B3">
            <w:pPr>
              <w:tabs>
                <w:tab w:val="left" w:pos="7920"/>
              </w:tabs>
              <w:rPr>
                <w:b/>
                <w:sz w:val="22"/>
                <w:szCs w:val="22"/>
              </w:rPr>
            </w:pPr>
            <w:r w:rsidRPr="000863FE">
              <w:rPr>
                <w:b/>
                <w:szCs w:val="24"/>
              </w:rPr>
              <w:t xml:space="preserve">Total </w:t>
            </w:r>
            <w:r>
              <w:rPr>
                <w:b/>
                <w:szCs w:val="24"/>
              </w:rPr>
              <w:t xml:space="preserve">Benefit </w:t>
            </w:r>
            <w:r w:rsidRPr="00ED2911">
              <w:rPr>
                <w:bCs/>
                <w:szCs w:val="24"/>
              </w:rPr>
              <w:t>(Present Value)</w:t>
            </w:r>
          </w:p>
        </w:tc>
      </w:tr>
      <w:tr w:rsidR="00ED2911" w14:paraId="6D8A8FF7" w14:textId="77777777" w:rsidTr="003424B3">
        <w:tc>
          <w:tcPr>
            <w:tcW w:w="2014" w:type="dxa"/>
          </w:tcPr>
          <w:p w14:paraId="747FB846" w14:textId="77777777" w:rsidR="00ED2911" w:rsidRDefault="00ED2911" w:rsidP="003424B3">
            <w:pPr>
              <w:tabs>
                <w:tab w:val="left" w:pos="7920"/>
              </w:tabs>
              <w:rPr>
                <w:b/>
                <w:sz w:val="22"/>
                <w:szCs w:val="22"/>
              </w:rPr>
            </w:pPr>
            <w:r w:rsidRPr="000863FE">
              <w:rPr>
                <w:b/>
                <w:szCs w:val="24"/>
              </w:rPr>
              <w:t>Low</w:t>
            </w:r>
          </w:p>
        </w:tc>
        <w:tc>
          <w:tcPr>
            <w:tcW w:w="2376" w:type="dxa"/>
            <w:vAlign w:val="center"/>
          </w:tcPr>
          <w:p w14:paraId="62CD5256" w14:textId="77777777" w:rsidR="00ED2911" w:rsidRDefault="00ED2911" w:rsidP="003424B3">
            <w:pPr>
              <w:tabs>
                <w:tab w:val="left" w:pos="7920"/>
              </w:tabs>
              <w:rPr>
                <w:b/>
                <w:sz w:val="22"/>
                <w:szCs w:val="22"/>
              </w:rPr>
            </w:pPr>
            <w:r w:rsidRPr="000863FE">
              <w:rPr>
                <w:b/>
                <w:szCs w:val="24"/>
              </w:rPr>
              <w:fldChar w:fldCharType="begin">
                <w:ffData>
                  <w:name w:val="Text29"/>
                  <w:enabled/>
                  <w:calcOnExit w:val="0"/>
                  <w:textInput/>
                </w:ffData>
              </w:fldChar>
            </w:r>
            <w:r w:rsidRPr="000863FE">
              <w:rPr>
                <w:b/>
                <w:szCs w:val="24"/>
              </w:rPr>
              <w:instrText xml:space="preserve"> FORMTEXT </w:instrText>
            </w:r>
            <w:r w:rsidRPr="000863FE">
              <w:rPr>
                <w:b/>
                <w:szCs w:val="24"/>
              </w:rPr>
            </w:r>
            <w:r w:rsidRPr="000863FE">
              <w:rPr>
                <w:b/>
                <w:szCs w:val="24"/>
              </w:rPr>
              <w:fldChar w:fldCharType="separate"/>
            </w:r>
            <w:r w:rsidRPr="000863FE">
              <w:rPr>
                <w:b/>
                <w:szCs w:val="24"/>
              </w:rPr>
              <w:t> </w:t>
            </w:r>
            <w:r w:rsidRPr="000863FE">
              <w:rPr>
                <w:b/>
                <w:szCs w:val="24"/>
              </w:rPr>
              <w:t> </w:t>
            </w:r>
            <w:r w:rsidRPr="000863FE">
              <w:rPr>
                <w:b/>
                <w:szCs w:val="24"/>
              </w:rPr>
              <w:t> </w:t>
            </w:r>
            <w:r w:rsidRPr="000863FE">
              <w:rPr>
                <w:b/>
                <w:szCs w:val="24"/>
              </w:rPr>
              <w:t> </w:t>
            </w:r>
            <w:r w:rsidRPr="000863FE">
              <w:rPr>
                <w:b/>
                <w:szCs w:val="24"/>
              </w:rPr>
              <w:t> </w:t>
            </w:r>
            <w:r w:rsidRPr="000863FE">
              <w:rPr>
                <w:b/>
                <w:szCs w:val="24"/>
              </w:rPr>
              <w:fldChar w:fldCharType="end"/>
            </w:r>
            <w:r w:rsidRPr="000863FE">
              <w:rPr>
                <w:b/>
                <w:szCs w:val="24"/>
              </w:rPr>
              <w:t>Optional</w:t>
            </w:r>
          </w:p>
        </w:tc>
        <w:tc>
          <w:tcPr>
            <w:tcW w:w="1652" w:type="dxa"/>
          </w:tcPr>
          <w:p w14:paraId="79DC9637" w14:textId="77777777" w:rsidR="00ED2911" w:rsidRDefault="00ED2911" w:rsidP="003424B3">
            <w:pPr>
              <w:tabs>
                <w:tab w:val="left" w:pos="7920"/>
              </w:tabs>
              <w:rPr>
                <w:b/>
                <w:sz w:val="22"/>
                <w:szCs w:val="22"/>
              </w:rPr>
            </w:pPr>
            <w:r>
              <w:rPr>
                <w:b/>
                <w:sz w:val="22"/>
                <w:szCs w:val="22"/>
              </w:rPr>
              <w:t>10</w:t>
            </w:r>
          </w:p>
        </w:tc>
        <w:tc>
          <w:tcPr>
            <w:tcW w:w="2014" w:type="dxa"/>
            <w:vAlign w:val="center"/>
          </w:tcPr>
          <w:p w14:paraId="1E7BA82E" w14:textId="77777777" w:rsidR="00ED2911" w:rsidRDefault="00ED2911" w:rsidP="003424B3">
            <w:pPr>
              <w:tabs>
                <w:tab w:val="left" w:pos="7920"/>
              </w:tabs>
              <w:rPr>
                <w:b/>
                <w:sz w:val="22"/>
                <w:szCs w:val="22"/>
              </w:rPr>
            </w:pPr>
            <w:r w:rsidRPr="000863FE">
              <w:rPr>
                <w:b/>
                <w:szCs w:val="24"/>
              </w:rPr>
              <w:fldChar w:fldCharType="begin">
                <w:ffData>
                  <w:name w:val="Text32"/>
                  <w:enabled/>
                  <w:calcOnExit w:val="0"/>
                  <w:textInput/>
                </w:ffData>
              </w:fldChar>
            </w:r>
            <w:r w:rsidRPr="000863FE">
              <w:rPr>
                <w:b/>
                <w:szCs w:val="24"/>
              </w:rPr>
              <w:instrText xml:space="preserve"> FORMTEXT </w:instrText>
            </w:r>
            <w:r w:rsidRPr="000863FE">
              <w:rPr>
                <w:b/>
                <w:szCs w:val="24"/>
              </w:rPr>
            </w:r>
            <w:r w:rsidRPr="000863FE">
              <w:rPr>
                <w:b/>
                <w:szCs w:val="24"/>
              </w:rPr>
              <w:fldChar w:fldCharType="separate"/>
            </w:r>
            <w:r w:rsidRPr="000863FE">
              <w:rPr>
                <w:b/>
                <w:szCs w:val="24"/>
              </w:rPr>
              <w:t> </w:t>
            </w:r>
            <w:r w:rsidRPr="000863FE">
              <w:rPr>
                <w:b/>
                <w:szCs w:val="24"/>
              </w:rPr>
              <w:t> </w:t>
            </w:r>
            <w:r w:rsidRPr="000863FE">
              <w:rPr>
                <w:b/>
                <w:szCs w:val="24"/>
              </w:rPr>
              <w:t> </w:t>
            </w:r>
            <w:r w:rsidRPr="000863FE">
              <w:rPr>
                <w:b/>
                <w:szCs w:val="24"/>
              </w:rPr>
              <w:t> </w:t>
            </w:r>
            <w:r w:rsidRPr="000863FE">
              <w:rPr>
                <w:b/>
                <w:szCs w:val="24"/>
              </w:rPr>
              <w:t> </w:t>
            </w:r>
            <w:r w:rsidRPr="000863FE">
              <w:rPr>
                <w:b/>
                <w:szCs w:val="24"/>
              </w:rPr>
              <w:fldChar w:fldCharType="end"/>
            </w:r>
            <w:r w:rsidRPr="000863FE">
              <w:rPr>
                <w:b/>
                <w:szCs w:val="24"/>
              </w:rPr>
              <w:t>Optional</w:t>
            </w:r>
          </w:p>
        </w:tc>
        <w:tc>
          <w:tcPr>
            <w:tcW w:w="2014" w:type="dxa"/>
            <w:vAlign w:val="center"/>
          </w:tcPr>
          <w:p w14:paraId="08EFAB48" w14:textId="77777777" w:rsidR="00ED2911" w:rsidRDefault="00ED2911" w:rsidP="003424B3">
            <w:pPr>
              <w:tabs>
                <w:tab w:val="left" w:pos="7920"/>
              </w:tabs>
              <w:rPr>
                <w:b/>
                <w:sz w:val="22"/>
                <w:szCs w:val="22"/>
              </w:rPr>
            </w:pPr>
            <w:r w:rsidRPr="000863FE">
              <w:rPr>
                <w:b/>
                <w:szCs w:val="24"/>
              </w:rPr>
              <w:fldChar w:fldCharType="begin">
                <w:ffData>
                  <w:name w:val="Text33"/>
                  <w:enabled/>
                  <w:calcOnExit w:val="0"/>
                  <w:textInput/>
                </w:ffData>
              </w:fldChar>
            </w:r>
            <w:r w:rsidRPr="000863FE">
              <w:rPr>
                <w:b/>
                <w:szCs w:val="24"/>
              </w:rPr>
              <w:instrText xml:space="preserve"> FORMTEXT </w:instrText>
            </w:r>
            <w:r w:rsidRPr="000863FE">
              <w:rPr>
                <w:b/>
                <w:szCs w:val="24"/>
              </w:rPr>
            </w:r>
            <w:r w:rsidRPr="000863FE">
              <w:rPr>
                <w:b/>
                <w:szCs w:val="24"/>
              </w:rPr>
              <w:fldChar w:fldCharType="separate"/>
            </w:r>
            <w:r w:rsidRPr="000863FE">
              <w:rPr>
                <w:b/>
                <w:szCs w:val="24"/>
              </w:rPr>
              <w:t> </w:t>
            </w:r>
            <w:r w:rsidRPr="000863FE">
              <w:rPr>
                <w:b/>
                <w:szCs w:val="24"/>
              </w:rPr>
              <w:t> </w:t>
            </w:r>
            <w:r w:rsidRPr="000863FE">
              <w:rPr>
                <w:b/>
                <w:szCs w:val="24"/>
              </w:rPr>
              <w:t> </w:t>
            </w:r>
            <w:r w:rsidRPr="000863FE">
              <w:rPr>
                <w:b/>
                <w:szCs w:val="24"/>
              </w:rPr>
              <w:t> </w:t>
            </w:r>
            <w:r w:rsidRPr="000863FE">
              <w:rPr>
                <w:b/>
                <w:szCs w:val="24"/>
              </w:rPr>
              <w:t> </w:t>
            </w:r>
            <w:r w:rsidRPr="000863FE">
              <w:rPr>
                <w:b/>
                <w:szCs w:val="24"/>
              </w:rPr>
              <w:fldChar w:fldCharType="end"/>
            </w:r>
            <w:r w:rsidRPr="000863FE">
              <w:rPr>
                <w:b/>
                <w:szCs w:val="24"/>
              </w:rPr>
              <w:t>Optional</w:t>
            </w:r>
          </w:p>
        </w:tc>
      </w:tr>
      <w:tr w:rsidR="00ED2911" w14:paraId="3F04419C" w14:textId="77777777" w:rsidTr="003424B3">
        <w:tc>
          <w:tcPr>
            <w:tcW w:w="2014" w:type="dxa"/>
          </w:tcPr>
          <w:p w14:paraId="77C1FA60" w14:textId="77777777" w:rsidR="00ED2911" w:rsidRDefault="00ED2911" w:rsidP="003424B3">
            <w:pPr>
              <w:tabs>
                <w:tab w:val="left" w:pos="7920"/>
              </w:tabs>
              <w:rPr>
                <w:b/>
                <w:sz w:val="22"/>
                <w:szCs w:val="22"/>
              </w:rPr>
            </w:pPr>
            <w:r w:rsidRPr="000863FE">
              <w:rPr>
                <w:b/>
                <w:szCs w:val="24"/>
              </w:rPr>
              <w:t>High</w:t>
            </w:r>
          </w:p>
        </w:tc>
        <w:tc>
          <w:tcPr>
            <w:tcW w:w="2376" w:type="dxa"/>
            <w:vAlign w:val="center"/>
          </w:tcPr>
          <w:p w14:paraId="67AF3A9F" w14:textId="77777777" w:rsidR="00ED2911" w:rsidRDefault="00ED2911" w:rsidP="003424B3">
            <w:pPr>
              <w:tabs>
                <w:tab w:val="left" w:pos="7920"/>
              </w:tabs>
              <w:rPr>
                <w:b/>
                <w:sz w:val="22"/>
                <w:szCs w:val="22"/>
              </w:rPr>
            </w:pPr>
            <w:r w:rsidRPr="000863FE">
              <w:rPr>
                <w:b/>
                <w:szCs w:val="24"/>
              </w:rPr>
              <w:fldChar w:fldCharType="begin">
                <w:ffData>
                  <w:name w:val="Text30"/>
                  <w:enabled/>
                  <w:calcOnExit w:val="0"/>
                  <w:textInput/>
                </w:ffData>
              </w:fldChar>
            </w:r>
            <w:r w:rsidRPr="000863FE">
              <w:rPr>
                <w:b/>
                <w:szCs w:val="24"/>
              </w:rPr>
              <w:instrText xml:space="preserve"> FORMTEXT </w:instrText>
            </w:r>
            <w:r w:rsidRPr="000863FE">
              <w:rPr>
                <w:b/>
                <w:szCs w:val="24"/>
              </w:rPr>
            </w:r>
            <w:r w:rsidRPr="000863FE">
              <w:rPr>
                <w:b/>
                <w:szCs w:val="24"/>
              </w:rPr>
              <w:fldChar w:fldCharType="separate"/>
            </w:r>
            <w:r w:rsidRPr="000863FE">
              <w:rPr>
                <w:b/>
                <w:szCs w:val="24"/>
              </w:rPr>
              <w:t> </w:t>
            </w:r>
            <w:r w:rsidRPr="000863FE">
              <w:rPr>
                <w:b/>
                <w:szCs w:val="24"/>
              </w:rPr>
              <w:t> </w:t>
            </w:r>
            <w:r w:rsidRPr="000863FE">
              <w:rPr>
                <w:b/>
                <w:szCs w:val="24"/>
              </w:rPr>
              <w:t> </w:t>
            </w:r>
            <w:r w:rsidRPr="000863FE">
              <w:rPr>
                <w:b/>
                <w:szCs w:val="24"/>
              </w:rPr>
              <w:t> </w:t>
            </w:r>
            <w:r w:rsidRPr="000863FE">
              <w:rPr>
                <w:b/>
                <w:szCs w:val="24"/>
              </w:rPr>
              <w:t> </w:t>
            </w:r>
            <w:r w:rsidRPr="000863FE">
              <w:rPr>
                <w:b/>
                <w:szCs w:val="24"/>
              </w:rPr>
              <w:fldChar w:fldCharType="end"/>
            </w:r>
            <w:r w:rsidRPr="000863FE">
              <w:rPr>
                <w:b/>
                <w:szCs w:val="24"/>
              </w:rPr>
              <w:t>Optional</w:t>
            </w:r>
          </w:p>
        </w:tc>
        <w:tc>
          <w:tcPr>
            <w:tcW w:w="1652" w:type="dxa"/>
          </w:tcPr>
          <w:p w14:paraId="4868C871" w14:textId="77777777" w:rsidR="00ED2911" w:rsidRDefault="00ED2911" w:rsidP="003424B3">
            <w:pPr>
              <w:tabs>
                <w:tab w:val="left" w:pos="7920"/>
              </w:tabs>
              <w:rPr>
                <w:b/>
                <w:sz w:val="22"/>
                <w:szCs w:val="22"/>
              </w:rPr>
            </w:pPr>
            <w:r>
              <w:rPr>
                <w:b/>
                <w:sz w:val="22"/>
                <w:szCs w:val="22"/>
              </w:rPr>
              <w:t>10</w:t>
            </w:r>
          </w:p>
        </w:tc>
        <w:tc>
          <w:tcPr>
            <w:tcW w:w="2014" w:type="dxa"/>
            <w:vAlign w:val="center"/>
          </w:tcPr>
          <w:p w14:paraId="76DE795B" w14:textId="77777777" w:rsidR="00ED2911" w:rsidRDefault="00ED2911" w:rsidP="003424B3">
            <w:pPr>
              <w:tabs>
                <w:tab w:val="left" w:pos="7920"/>
              </w:tabs>
              <w:rPr>
                <w:b/>
                <w:sz w:val="22"/>
                <w:szCs w:val="22"/>
              </w:rPr>
            </w:pPr>
            <w:r w:rsidRPr="000863FE">
              <w:rPr>
                <w:b/>
                <w:szCs w:val="24"/>
              </w:rPr>
              <w:fldChar w:fldCharType="begin">
                <w:ffData>
                  <w:name w:val="Text31"/>
                  <w:enabled/>
                  <w:calcOnExit w:val="0"/>
                  <w:textInput/>
                </w:ffData>
              </w:fldChar>
            </w:r>
            <w:r w:rsidRPr="000863FE">
              <w:rPr>
                <w:b/>
                <w:szCs w:val="24"/>
              </w:rPr>
              <w:instrText xml:space="preserve"> FORMTEXT </w:instrText>
            </w:r>
            <w:r w:rsidRPr="000863FE">
              <w:rPr>
                <w:b/>
                <w:szCs w:val="24"/>
              </w:rPr>
            </w:r>
            <w:r w:rsidRPr="000863FE">
              <w:rPr>
                <w:b/>
                <w:szCs w:val="24"/>
              </w:rPr>
              <w:fldChar w:fldCharType="separate"/>
            </w:r>
            <w:r w:rsidRPr="000863FE">
              <w:rPr>
                <w:b/>
                <w:szCs w:val="24"/>
              </w:rPr>
              <w:t> </w:t>
            </w:r>
            <w:r w:rsidRPr="000863FE">
              <w:rPr>
                <w:b/>
                <w:szCs w:val="24"/>
              </w:rPr>
              <w:t> </w:t>
            </w:r>
            <w:r w:rsidRPr="000863FE">
              <w:rPr>
                <w:b/>
                <w:szCs w:val="24"/>
              </w:rPr>
              <w:t> </w:t>
            </w:r>
            <w:r w:rsidRPr="000863FE">
              <w:rPr>
                <w:b/>
                <w:szCs w:val="24"/>
              </w:rPr>
              <w:t> </w:t>
            </w:r>
            <w:r w:rsidRPr="000863FE">
              <w:rPr>
                <w:b/>
                <w:szCs w:val="24"/>
              </w:rPr>
              <w:t> </w:t>
            </w:r>
            <w:r w:rsidRPr="000863FE">
              <w:rPr>
                <w:b/>
                <w:szCs w:val="24"/>
              </w:rPr>
              <w:fldChar w:fldCharType="end"/>
            </w:r>
            <w:r w:rsidRPr="000863FE">
              <w:rPr>
                <w:b/>
                <w:szCs w:val="24"/>
              </w:rPr>
              <w:t>Optional</w:t>
            </w:r>
          </w:p>
        </w:tc>
        <w:tc>
          <w:tcPr>
            <w:tcW w:w="2014" w:type="dxa"/>
            <w:vAlign w:val="center"/>
          </w:tcPr>
          <w:p w14:paraId="4FE27DE3" w14:textId="77777777" w:rsidR="00ED2911" w:rsidRDefault="00ED2911" w:rsidP="003424B3">
            <w:pPr>
              <w:tabs>
                <w:tab w:val="left" w:pos="7920"/>
              </w:tabs>
              <w:rPr>
                <w:b/>
                <w:sz w:val="22"/>
                <w:szCs w:val="22"/>
              </w:rPr>
            </w:pPr>
            <w:r w:rsidRPr="000863FE">
              <w:rPr>
                <w:b/>
                <w:szCs w:val="24"/>
              </w:rPr>
              <w:fldChar w:fldCharType="begin">
                <w:ffData>
                  <w:name w:val="Text34"/>
                  <w:enabled/>
                  <w:calcOnExit w:val="0"/>
                  <w:textInput/>
                </w:ffData>
              </w:fldChar>
            </w:r>
            <w:r w:rsidRPr="000863FE">
              <w:rPr>
                <w:b/>
                <w:szCs w:val="24"/>
              </w:rPr>
              <w:instrText xml:space="preserve"> FORMTEXT </w:instrText>
            </w:r>
            <w:r w:rsidRPr="000863FE">
              <w:rPr>
                <w:b/>
                <w:szCs w:val="24"/>
              </w:rPr>
            </w:r>
            <w:r w:rsidRPr="000863FE">
              <w:rPr>
                <w:b/>
                <w:szCs w:val="24"/>
              </w:rPr>
              <w:fldChar w:fldCharType="separate"/>
            </w:r>
            <w:r w:rsidRPr="000863FE">
              <w:rPr>
                <w:b/>
                <w:szCs w:val="24"/>
              </w:rPr>
              <w:t> </w:t>
            </w:r>
            <w:r w:rsidRPr="000863FE">
              <w:rPr>
                <w:b/>
                <w:szCs w:val="24"/>
              </w:rPr>
              <w:t> </w:t>
            </w:r>
            <w:r w:rsidRPr="000863FE">
              <w:rPr>
                <w:b/>
                <w:szCs w:val="24"/>
              </w:rPr>
              <w:t> </w:t>
            </w:r>
            <w:r w:rsidRPr="000863FE">
              <w:rPr>
                <w:b/>
                <w:szCs w:val="24"/>
              </w:rPr>
              <w:t> </w:t>
            </w:r>
            <w:r w:rsidRPr="000863FE">
              <w:rPr>
                <w:b/>
                <w:szCs w:val="24"/>
              </w:rPr>
              <w:t> </w:t>
            </w:r>
            <w:r w:rsidRPr="000863FE">
              <w:rPr>
                <w:b/>
                <w:szCs w:val="24"/>
              </w:rPr>
              <w:fldChar w:fldCharType="end"/>
            </w:r>
            <w:r w:rsidRPr="000863FE">
              <w:rPr>
                <w:b/>
                <w:szCs w:val="24"/>
              </w:rPr>
              <w:t>Optional</w:t>
            </w:r>
          </w:p>
        </w:tc>
      </w:tr>
      <w:tr w:rsidR="00ED2911" w14:paraId="768A531F" w14:textId="77777777" w:rsidTr="003424B3">
        <w:tc>
          <w:tcPr>
            <w:tcW w:w="2014" w:type="dxa"/>
          </w:tcPr>
          <w:p w14:paraId="2155D6D7" w14:textId="77777777" w:rsidR="00ED2911" w:rsidRDefault="00ED2911" w:rsidP="003424B3">
            <w:pPr>
              <w:tabs>
                <w:tab w:val="left" w:pos="7920"/>
              </w:tabs>
              <w:rPr>
                <w:b/>
                <w:sz w:val="22"/>
                <w:szCs w:val="22"/>
              </w:rPr>
            </w:pPr>
            <w:r w:rsidRPr="000863FE">
              <w:rPr>
                <w:b/>
                <w:szCs w:val="24"/>
              </w:rPr>
              <w:t>Best Estimate</w:t>
            </w:r>
          </w:p>
        </w:tc>
        <w:tc>
          <w:tcPr>
            <w:tcW w:w="2376" w:type="dxa"/>
          </w:tcPr>
          <w:p w14:paraId="751FAF6C" w14:textId="77777777" w:rsidR="00ED2911" w:rsidRDefault="00ED2911" w:rsidP="003424B3">
            <w:pPr>
              <w:tabs>
                <w:tab w:val="left" w:pos="7920"/>
              </w:tabs>
              <w:rPr>
                <w:b/>
                <w:sz w:val="22"/>
                <w:szCs w:val="22"/>
              </w:rPr>
            </w:pPr>
            <w:r w:rsidRPr="000863FE">
              <w:rPr>
                <w:b/>
                <w:szCs w:val="24"/>
              </w:rPr>
              <w:t>N/A</w:t>
            </w:r>
          </w:p>
        </w:tc>
        <w:tc>
          <w:tcPr>
            <w:tcW w:w="1652" w:type="dxa"/>
          </w:tcPr>
          <w:p w14:paraId="5B99C0B6" w14:textId="77777777" w:rsidR="00ED2911" w:rsidRDefault="00ED2911" w:rsidP="003424B3">
            <w:pPr>
              <w:tabs>
                <w:tab w:val="left" w:pos="7920"/>
              </w:tabs>
              <w:rPr>
                <w:b/>
                <w:sz w:val="22"/>
                <w:szCs w:val="22"/>
              </w:rPr>
            </w:pPr>
          </w:p>
        </w:tc>
        <w:tc>
          <w:tcPr>
            <w:tcW w:w="2014" w:type="dxa"/>
          </w:tcPr>
          <w:p w14:paraId="3482F756" w14:textId="77777777" w:rsidR="00ED2911" w:rsidRDefault="00ED2911" w:rsidP="003424B3">
            <w:pPr>
              <w:tabs>
                <w:tab w:val="left" w:pos="7920"/>
              </w:tabs>
              <w:rPr>
                <w:b/>
                <w:sz w:val="22"/>
                <w:szCs w:val="22"/>
              </w:rPr>
            </w:pPr>
            <w:r w:rsidRPr="000863FE">
              <w:rPr>
                <w:b/>
                <w:szCs w:val="24"/>
              </w:rPr>
              <w:t>N/A</w:t>
            </w:r>
          </w:p>
        </w:tc>
        <w:tc>
          <w:tcPr>
            <w:tcW w:w="2014" w:type="dxa"/>
          </w:tcPr>
          <w:p w14:paraId="1F576354" w14:textId="77777777" w:rsidR="00ED2911" w:rsidRDefault="00ED2911" w:rsidP="003424B3">
            <w:pPr>
              <w:tabs>
                <w:tab w:val="left" w:pos="7920"/>
              </w:tabs>
              <w:rPr>
                <w:b/>
                <w:sz w:val="22"/>
                <w:szCs w:val="22"/>
              </w:rPr>
            </w:pPr>
            <w:r w:rsidRPr="000863FE">
              <w:rPr>
                <w:b/>
                <w:szCs w:val="24"/>
              </w:rPr>
              <w:t>N/A</w:t>
            </w:r>
          </w:p>
        </w:tc>
      </w:tr>
    </w:tbl>
    <w:p w14:paraId="13646BB1" w14:textId="77777777" w:rsidR="00ED2911" w:rsidRDefault="00ED2911" w:rsidP="003D6EAD">
      <w:pPr>
        <w:tabs>
          <w:tab w:val="left" w:pos="7920"/>
        </w:tabs>
        <w:rPr>
          <w:b/>
          <w:sz w:val="22"/>
          <w:szCs w:val="22"/>
        </w:rPr>
      </w:pPr>
    </w:p>
    <w:tbl>
      <w:tblPr>
        <w:tblStyle w:val="TableGrid"/>
        <w:tblW w:w="0" w:type="auto"/>
        <w:tblLook w:val="01E0" w:firstRow="1" w:lastRow="1" w:firstColumn="1" w:lastColumn="1" w:noHBand="0" w:noVBand="0"/>
      </w:tblPr>
      <w:tblGrid>
        <w:gridCol w:w="10070"/>
      </w:tblGrid>
      <w:tr w:rsidR="002144B3" w14:paraId="0BCF757F" w14:textId="77777777" w:rsidTr="00520F9E">
        <w:trPr>
          <w:trHeight w:hRule="exact" w:val="1418"/>
        </w:trPr>
        <w:tc>
          <w:tcPr>
            <w:tcW w:w="10070" w:type="dxa"/>
          </w:tcPr>
          <w:p w14:paraId="5EA3033A" w14:textId="77777777" w:rsidR="002144B3" w:rsidRPr="000863FE" w:rsidRDefault="002144B3" w:rsidP="001577E1">
            <w:pPr>
              <w:tabs>
                <w:tab w:val="left" w:pos="7920"/>
              </w:tabs>
              <w:rPr>
                <w:szCs w:val="24"/>
              </w:rPr>
            </w:pPr>
            <w:r w:rsidRPr="000863FE">
              <w:rPr>
                <w:b/>
                <w:szCs w:val="24"/>
              </w:rPr>
              <w:t xml:space="preserve">Description and scale of key monetised </w:t>
            </w:r>
            <w:r w:rsidR="00F276DB" w:rsidRPr="000863FE">
              <w:rPr>
                <w:b/>
                <w:szCs w:val="24"/>
              </w:rPr>
              <w:t>benefits</w:t>
            </w:r>
            <w:r w:rsidRPr="000863FE">
              <w:rPr>
                <w:b/>
                <w:szCs w:val="24"/>
              </w:rPr>
              <w:t xml:space="preserve"> by ‘main affected groups’</w:t>
            </w:r>
            <w:r w:rsidR="00BC6455" w:rsidRPr="000863FE">
              <w:rPr>
                <w:b/>
                <w:szCs w:val="24"/>
              </w:rPr>
              <w:t xml:space="preserve"> </w:t>
            </w:r>
            <w:r w:rsidRPr="000863FE">
              <w:rPr>
                <w:szCs w:val="24"/>
              </w:rPr>
              <w:t>Maximum 5 lines</w:t>
            </w:r>
            <w:r w:rsidR="003403CC" w:rsidRPr="000863FE">
              <w:rPr>
                <w:szCs w:val="24"/>
              </w:rPr>
              <w:t xml:space="preserve">  </w:t>
            </w:r>
          </w:p>
          <w:p w14:paraId="2EBFB6AA" w14:textId="36E21EEA" w:rsidR="002144B3" w:rsidRPr="000863FE" w:rsidRDefault="00876381" w:rsidP="001577E1">
            <w:pPr>
              <w:tabs>
                <w:tab w:val="left" w:pos="7920"/>
              </w:tabs>
              <w:rPr>
                <w:b/>
                <w:szCs w:val="24"/>
              </w:rPr>
            </w:pPr>
            <w:r w:rsidRPr="000863FE">
              <w:rPr>
                <w:szCs w:val="24"/>
              </w:rPr>
              <w:t>There are no costs or benefits associated with this option. This is the baseline against which all other options are appraised.</w:t>
            </w:r>
          </w:p>
        </w:tc>
      </w:tr>
      <w:tr w:rsidR="002144B3" w14:paraId="1A954623" w14:textId="77777777" w:rsidTr="00520F9E">
        <w:trPr>
          <w:trHeight w:hRule="exact" w:val="1418"/>
        </w:trPr>
        <w:tc>
          <w:tcPr>
            <w:tcW w:w="10070" w:type="dxa"/>
          </w:tcPr>
          <w:p w14:paraId="30DB4588" w14:textId="77777777" w:rsidR="002144B3" w:rsidRPr="000863FE" w:rsidRDefault="002144B3" w:rsidP="001577E1">
            <w:pPr>
              <w:tabs>
                <w:tab w:val="left" w:pos="7920"/>
              </w:tabs>
              <w:rPr>
                <w:szCs w:val="24"/>
              </w:rPr>
            </w:pPr>
            <w:r w:rsidRPr="000863FE">
              <w:rPr>
                <w:b/>
                <w:szCs w:val="24"/>
              </w:rPr>
              <w:t xml:space="preserve">Other key non-monetised </w:t>
            </w:r>
            <w:r w:rsidR="00F276DB" w:rsidRPr="000863FE">
              <w:rPr>
                <w:b/>
                <w:szCs w:val="24"/>
              </w:rPr>
              <w:t>benefits</w:t>
            </w:r>
            <w:r w:rsidRPr="000863FE">
              <w:rPr>
                <w:b/>
                <w:szCs w:val="24"/>
              </w:rPr>
              <w:t xml:space="preserve"> by ‘main affected groups’</w:t>
            </w:r>
            <w:r w:rsidR="00BC6455" w:rsidRPr="000863FE">
              <w:rPr>
                <w:b/>
                <w:szCs w:val="24"/>
              </w:rPr>
              <w:t xml:space="preserve"> </w:t>
            </w:r>
            <w:r w:rsidRPr="000863FE">
              <w:rPr>
                <w:szCs w:val="24"/>
              </w:rPr>
              <w:t>Maximum 5 lines</w:t>
            </w:r>
          </w:p>
          <w:p w14:paraId="67073551" w14:textId="1A68D51B" w:rsidR="002144B3" w:rsidRPr="000863FE" w:rsidRDefault="00876381" w:rsidP="001577E1">
            <w:pPr>
              <w:tabs>
                <w:tab w:val="left" w:pos="7920"/>
              </w:tabs>
              <w:rPr>
                <w:szCs w:val="24"/>
              </w:rPr>
            </w:pPr>
            <w:r w:rsidRPr="000863FE">
              <w:rPr>
                <w:szCs w:val="24"/>
              </w:rPr>
              <w:t>There are no costs or benefits associated with this option. This is the baseline against which all other options are appraised.</w:t>
            </w:r>
          </w:p>
        </w:tc>
      </w:tr>
      <w:tr w:rsidR="002144B3" w14:paraId="5015785E" w14:textId="77777777" w:rsidTr="00520F9E">
        <w:trPr>
          <w:trHeight w:hRule="exact" w:val="927"/>
        </w:trPr>
        <w:tc>
          <w:tcPr>
            <w:tcW w:w="10070" w:type="dxa"/>
          </w:tcPr>
          <w:p w14:paraId="6BB05ACB" w14:textId="77777777" w:rsidR="002144B3" w:rsidRPr="000863FE" w:rsidRDefault="002144B3" w:rsidP="001577E1">
            <w:pPr>
              <w:tabs>
                <w:tab w:val="left" w:pos="7920"/>
              </w:tabs>
              <w:rPr>
                <w:szCs w:val="24"/>
              </w:rPr>
            </w:pPr>
            <w:r w:rsidRPr="000863FE">
              <w:rPr>
                <w:b/>
                <w:szCs w:val="24"/>
              </w:rPr>
              <w:t>Key Assumptions, Sensitivities, Risks</w:t>
            </w:r>
            <w:r w:rsidR="00BC6455" w:rsidRPr="000863FE">
              <w:rPr>
                <w:b/>
                <w:szCs w:val="24"/>
              </w:rPr>
              <w:t xml:space="preserve"> </w:t>
            </w:r>
            <w:r w:rsidRPr="000863FE">
              <w:rPr>
                <w:szCs w:val="24"/>
              </w:rPr>
              <w:t>Maximum 5 lines</w:t>
            </w:r>
          </w:p>
          <w:p w14:paraId="679812C8" w14:textId="616A261C" w:rsidR="002144B3" w:rsidRPr="000863FE" w:rsidRDefault="00BA443F" w:rsidP="00B34F78">
            <w:pPr>
              <w:tabs>
                <w:tab w:val="left" w:pos="7920"/>
              </w:tabs>
              <w:rPr>
                <w:b/>
                <w:szCs w:val="24"/>
              </w:rPr>
            </w:pPr>
            <w:r w:rsidRPr="000863FE">
              <w:rPr>
                <w:szCs w:val="24"/>
              </w:rPr>
              <w:t>Costs and benefits in the baseline are constant throughout the lifespan of the policy.</w:t>
            </w:r>
          </w:p>
        </w:tc>
      </w:tr>
    </w:tbl>
    <w:p w14:paraId="62B795B3" w14:textId="77777777" w:rsidR="00AA4ABF" w:rsidRPr="000863FE" w:rsidRDefault="00AA4ABF" w:rsidP="00AA4ABF">
      <w:pPr>
        <w:rPr>
          <w:szCs w:val="24"/>
        </w:rPr>
      </w:pPr>
    </w:p>
    <w:p w14:paraId="2CD6B5E6" w14:textId="77777777" w:rsidR="00ED2911" w:rsidRDefault="00ED2911" w:rsidP="00AA4ABF">
      <w:pPr>
        <w:tabs>
          <w:tab w:val="left" w:pos="7920"/>
        </w:tabs>
        <w:rPr>
          <w:b/>
          <w:szCs w:val="24"/>
        </w:rPr>
      </w:pPr>
    </w:p>
    <w:p w14:paraId="42F51078" w14:textId="77777777" w:rsidR="00ED2911" w:rsidRDefault="00ED2911" w:rsidP="00AA4ABF">
      <w:pPr>
        <w:tabs>
          <w:tab w:val="left" w:pos="7920"/>
        </w:tabs>
        <w:rPr>
          <w:b/>
          <w:szCs w:val="24"/>
        </w:rPr>
      </w:pPr>
    </w:p>
    <w:p w14:paraId="7850A32F" w14:textId="77777777" w:rsidR="00ED2911" w:rsidRDefault="00ED2911" w:rsidP="00AA4ABF">
      <w:pPr>
        <w:tabs>
          <w:tab w:val="left" w:pos="7920"/>
        </w:tabs>
        <w:rPr>
          <w:b/>
          <w:szCs w:val="24"/>
        </w:rPr>
      </w:pPr>
    </w:p>
    <w:p w14:paraId="37F6CEEB" w14:textId="7F5473B8" w:rsidR="00AA4ABF" w:rsidRDefault="00CC0939" w:rsidP="006647A3">
      <w:pPr>
        <w:pStyle w:val="Heading2"/>
      </w:pPr>
      <w:r w:rsidRPr="000863FE">
        <w:t xml:space="preserve">BUSINESS ASSESSMENT (Option </w:t>
      </w:r>
      <w:r w:rsidR="00BA443F" w:rsidRPr="000863FE">
        <w:t>1</w:t>
      </w:r>
      <w:r w:rsidR="00AA4ABF" w:rsidRPr="000863FE">
        <w:t>)</w:t>
      </w:r>
    </w:p>
    <w:p w14:paraId="65E8637C" w14:textId="1F3D7FD0" w:rsidR="00ED2911" w:rsidRDefault="00ED2911" w:rsidP="00AA4ABF">
      <w:pPr>
        <w:tabs>
          <w:tab w:val="left" w:pos="7920"/>
        </w:tabs>
        <w:rPr>
          <w:b/>
          <w:szCs w:val="24"/>
        </w:rPr>
      </w:pPr>
    </w:p>
    <w:tbl>
      <w:tblPr>
        <w:tblStyle w:val="TableGrid"/>
        <w:tblW w:w="0" w:type="auto"/>
        <w:tblLook w:val="01E0" w:firstRow="1" w:lastRow="1" w:firstColumn="1" w:lastColumn="1" w:noHBand="0" w:noVBand="0"/>
      </w:tblPr>
      <w:tblGrid>
        <w:gridCol w:w="6837"/>
        <w:gridCol w:w="1246"/>
        <w:gridCol w:w="1987"/>
      </w:tblGrid>
      <w:tr w:rsidR="00ED2911" w14:paraId="1D8669DD" w14:textId="77777777" w:rsidTr="00520F9E">
        <w:tc>
          <w:tcPr>
            <w:tcW w:w="6837" w:type="dxa"/>
          </w:tcPr>
          <w:p w14:paraId="2FCA4146" w14:textId="77777777" w:rsidR="00ED2911" w:rsidRPr="000863FE" w:rsidRDefault="00ED2911" w:rsidP="003424B3">
            <w:pPr>
              <w:tabs>
                <w:tab w:val="left" w:pos="7920"/>
              </w:tabs>
              <w:rPr>
                <w:b/>
                <w:szCs w:val="24"/>
              </w:rPr>
            </w:pPr>
            <w:r w:rsidRPr="000863FE">
              <w:rPr>
                <w:b/>
                <w:szCs w:val="24"/>
              </w:rPr>
              <w:t>Direct Impact on business (Equivalent Annual) £m</w:t>
            </w:r>
          </w:p>
        </w:tc>
        <w:tc>
          <w:tcPr>
            <w:tcW w:w="1246" w:type="dxa"/>
          </w:tcPr>
          <w:p w14:paraId="7D36F730" w14:textId="77777777" w:rsidR="00ED2911" w:rsidRPr="000863FE" w:rsidRDefault="00ED2911" w:rsidP="003424B3">
            <w:pPr>
              <w:tabs>
                <w:tab w:val="left" w:pos="7920"/>
              </w:tabs>
              <w:rPr>
                <w:b/>
                <w:szCs w:val="24"/>
              </w:rPr>
            </w:pPr>
          </w:p>
        </w:tc>
        <w:tc>
          <w:tcPr>
            <w:tcW w:w="1987" w:type="dxa"/>
          </w:tcPr>
          <w:p w14:paraId="40B5E7B2" w14:textId="77777777" w:rsidR="00ED2911" w:rsidRPr="000863FE" w:rsidRDefault="00ED2911" w:rsidP="003424B3">
            <w:pPr>
              <w:tabs>
                <w:tab w:val="left" w:pos="7920"/>
              </w:tabs>
              <w:rPr>
                <w:b/>
                <w:szCs w:val="24"/>
              </w:rPr>
            </w:pPr>
          </w:p>
        </w:tc>
      </w:tr>
    </w:tbl>
    <w:p w14:paraId="04B191B0" w14:textId="77777777" w:rsidR="00ED2911" w:rsidRPr="000863FE" w:rsidRDefault="00ED2911" w:rsidP="00AA4ABF">
      <w:pPr>
        <w:tabs>
          <w:tab w:val="left" w:pos="7920"/>
        </w:tabs>
        <w:rPr>
          <w:b/>
          <w:szCs w:val="24"/>
        </w:rPr>
      </w:pPr>
    </w:p>
    <w:tbl>
      <w:tblPr>
        <w:tblStyle w:val="TableGrid"/>
        <w:tblW w:w="0" w:type="auto"/>
        <w:tblLook w:val="01E0" w:firstRow="1" w:lastRow="1" w:firstColumn="1" w:lastColumn="1" w:noHBand="0" w:noVBand="0"/>
      </w:tblPr>
      <w:tblGrid>
        <w:gridCol w:w="2279"/>
        <w:gridCol w:w="2290"/>
        <w:gridCol w:w="2268"/>
        <w:gridCol w:w="1246"/>
        <w:gridCol w:w="1987"/>
      </w:tblGrid>
      <w:tr w:rsidR="002144B3" w14:paraId="1892F0F1" w14:textId="77777777" w:rsidTr="00520F9E">
        <w:trPr>
          <w:trHeight w:hRule="exact" w:val="284"/>
        </w:trPr>
        <w:tc>
          <w:tcPr>
            <w:tcW w:w="2279" w:type="dxa"/>
          </w:tcPr>
          <w:p w14:paraId="2C88FBF7" w14:textId="31F9266C" w:rsidR="002144B3" w:rsidRPr="000863FE" w:rsidRDefault="00AA4ABF" w:rsidP="0053314B">
            <w:pPr>
              <w:tabs>
                <w:tab w:val="left" w:pos="7920"/>
              </w:tabs>
              <w:rPr>
                <w:b/>
                <w:szCs w:val="24"/>
              </w:rPr>
            </w:pPr>
            <w:r w:rsidRPr="000863FE">
              <w:rPr>
                <w:b/>
                <w:szCs w:val="24"/>
              </w:rPr>
              <w:t>Costs:</w:t>
            </w:r>
            <w:r w:rsidR="00CD271E" w:rsidRPr="000863FE">
              <w:rPr>
                <w:b/>
                <w:szCs w:val="24"/>
              </w:rPr>
              <w:t>N/A</w:t>
            </w:r>
          </w:p>
        </w:tc>
        <w:tc>
          <w:tcPr>
            <w:tcW w:w="2290" w:type="dxa"/>
          </w:tcPr>
          <w:p w14:paraId="1E36EFF3" w14:textId="234A9E59" w:rsidR="002144B3" w:rsidRPr="000863FE" w:rsidRDefault="00AA4ABF" w:rsidP="0053314B">
            <w:pPr>
              <w:tabs>
                <w:tab w:val="left" w:pos="7920"/>
              </w:tabs>
              <w:rPr>
                <w:b/>
                <w:szCs w:val="24"/>
              </w:rPr>
            </w:pPr>
            <w:r w:rsidRPr="000863FE">
              <w:rPr>
                <w:b/>
                <w:szCs w:val="24"/>
              </w:rPr>
              <w:t>Benefits:</w:t>
            </w:r>
            <w:r w:rsidR="00CD271E" w:rsidRPr="000863FE">
              <w:rPr>
                <w:b/>
                <w:szCs w:val="24"/>
              </w:rPr>
              <w:t>N/A</w:t>
            </w:r>
          </w:p>
        </w:tc>
        <w:tc>
          <w:tcPr>
            <w:tcW w:w="2268" w:type="dxa"/>
          </w:tcPr>
          <w:p w14:paraId="3CA0001D" w14:textId="51B2BAFC" w:rsidR="002144B3" w:rsidRPr="000863FE" w:rsidRDefault="00AA4ABF" w:rsidP="0053314B">
            <w:pPr>
              <w:tabs>
                <w:tab w:val="left" w:pos="7920"/>
              </w:tabs>
              <w:rPr>
                <w:b/>
                <w:szCs w:val="24"/>
              </w:rPr>
            </w:pPr>
            <w:r w:rsidRPr="000863FE">
              <w:rPr>
                <w:b/>
                <w:szCs w:val="24"/>
              </w:rPr>
              <w:t>Net:</w:t>
            </w:r>
            <w:r w:rsidR="00CD271E" w:rsidRPr="000863FE">
              <w:rPr>
                <w:b/>
                <w:szCs w:val="24"/>
              </w:rPr>
              <w:t>N/A</w:t>
            </w:r>
          </w:p>
        </w:tc>
        <w:tc>
          <w:tcPr>
            <w:tcW w:w="1246" w:type="dxa"/>
          </w:tcPr>
          <w:p w14:paraId="61313346" w14:textId="77777777" w:rsidR="002144B3" w:rsidRPr="000863FE" w:rsidRDefault="002144B3" w:rsidP="001577E1">
            <w:pPr>
              <w:tabs>
                <w:tab w:val="left" w:pos="7920"/>
              </w:tabs>
              <w:rPr>
                <w:b/>
                <w:szCs w:val="24"/>
              </w:rPr>
            </w:pPr>
          </w:p>
        </w:tc>
        <w:tc>
          <w:tcPr>
            <w:tcW w:w="1987" w:type="dxa"/>
          </w:tcPr>
          <w:p w14:paraId="3788DCFF" w14:textId="77777777" w:rsidR="002144B3" w:rsidRPr="000863FE" w:rsidRDefault="002144B3" w:rsidP="001577E1">
            <w:pPr>
              <w:tabs>
                <w:tab w:val="left" w:pos="7920"/>
              </w:tabs>
              <w:rPr>
                <w:b/>
                <w:szCs w:val="24"/>
              </w:rPr>
            </w:pPr>
          </w:p>
        </w:tc>
      </w:tr>
    </w:tbl>
    <w:p w14:paraId="5831F9E8" w14:textId="77777777" w:rsidR="002144B3" w:rsidRPr="000863FE" w:rsidRDefault="002144B3" w:rsidP="002144B3">
      <w:pPr>
        <w:tabs>
          <w:tab w:val="left" w:pos="7920"/>
        </w:tabs>
        <w:rPr>
          <w:szCs w:val="24"/>
        </w:rPr>
      </w:pPr>
    </w:p>
    <w:p w14:paraId="104D2781" w14:textId="61FC31E6" w:rsidR="002144B3" w:rsidRPr="000863FE" w:rsidRDefault="00CF1552" w:rsidP="002144B3">
      <w:pPr>
        <w:tabs>
          <w:tab w:val="left" w:pos="7920"/>
        </w:tabs>
        <w:rPr>
          <w:b/>
          <w:szCs w:val="24"/>
        </w:rPr>
      </w:pPr>
      <w:r w:rsidRPr="000863FE">
        <w:rPr>
          <w:b/>
          <w:szCs w:val="24"/>
        </w:rPr>
        <w:t>Cross Border Issues</w:t>
      </w:r>
      <w:r w:rsidR="00F77F41" w:rsidRPr="000863FE">
        <w:rPr>
          <w:b/>
          <w:szCs w:val="24"/>
        </w:rPr>
        <w:t xml:space="preserve"> (Option </w:t>
      </w:r>
      <w:r w:rsidR="00CD271E" w:rsidRPr="000863FE">
        <w:rPr>
          <w:szCs w:val="24"/>
        </w:rPr>
        <w:t>1</w:t>
      </w:r>
      <w:r w:rsidR="003403CC" w:rsidRPr="000863FE">
        <w:rPr>
          <w:b/>
          <w:szCs w:val="24"/>
        </w:rPr>
        <w:t>)</w:t>
      </w:r>
    </w:p>
    <w:tbl>
      <w:tblPr>
        <w:tblStyle w:val="TableGrid"/>
        <w:tblW w:w="0" w:type="auto"/>
        <w:tblLook w:val="01E0" w:firstRow="1" w:lastRow="1" w:firstColumn="1" w:lastColumn="1" w:noHBand="0" w:noVBand="0"/>
      </w:tblPr>
      <w:tblGrid>
        <w:gridCol w:w="10070"/>
      </w:tblGrid>
      <w:tr w:rsidR="00AA4ABF" w14:paraId="16410A70" w14:textId="77777777" w:rsidTr="00520F9E">
        <w:trPr>
          <w:trHeight w:hRule="exact" w:val="1261"/>
        </w:trPr>
        <w:tc>
          <w:tcPr>
            <w:tcW w:w="10296" w:type="dxa"/>
          </w:tcPr>
          <w:p w14:paraId="7AF13AC1" w14:textId="4E9F5BC8" w:rsidR="00AA4ABF" w:rsidRPr="000863FE" w:rsidRDefault="00AA4ABF" w:rsidP="001577E1">
            <w:pPr>
              <w:tabs>
                <w:tab w:val="left" w:pos="7920"/>
              </w:tabs>
              <w:rPr>
                <w:szCs w:val="24"/>
              </w:rPr>
            </w:pPr>
            <w:r w:rsidRPr="000863FE">
              <w:rPr>
                <w:b/>
                <w:szCs w:val="24"/>
              </w:rPr>
              <w:t xml:space="preserve">How does this option compare to other UK regions and to other EU Member States (particularly Republic of Ireland) </w:t>
            </w:r>
            <w:r w:rsidRPr="000863FE">
              <w:rPr>
                <w:szCs w:val="24"/>
              </w:rPr>
              <w:t>Maximum 3 lines</w:t>
            </w:r>
          </w:p>
          <w:p w14:paraId="1367F57A" w14:textId="27D31D7D" w:rsidR="00A504FC" w:rsidRPr="000863FE" w:rsidRDefault="00A504FC" w:rsidP="00D450E4">
            <w:pPr>
              <w:tabs>
                <w:tab w:val="left" w:pos="7920"/>
              </w:tabs>
              <w:rPr>
                <w:szCs w:val="24"/>
              </w:rPr>
            </w:pPr>
          </w:p>
        </w:tc>
      </w:tr>
      <w:bookmarkEnd w:id="3"/>
    </w:tbl>
    <w:p w14:paraId="583A183E" w14:textId="77777777" w:rsidR="00441982" w:rsidRDefault="00441982" w:rsidP="003D6EAD">
      <w:pPr>
        <w:tabs>
          <w:tab w:val="left" w:pos="7920"/>
        </w:tabs>
        <w:rPr>
          <w:sz w:val="28"/>
          <w:szCs w:val="28"/>
        </w:rPr>
      </w:pPr>
    </w:p>
    <w:p w14:paraId="47C0ED25" w14:textId="2DF9D55A" w:rsidR="00441982" w:rsidRDefault="00441982">
      <w:pPr>
        <w:rPr>
          <w:sz w:val="28"/>
          <w:szCs w:val="28"/>
        </w:rPr>
      </w:pPr>
    </w:p>
    <w:p w14:paraId="5C154A91" w14:textId="534F80A2" w:rsidR="00E60FD5" w:rsidRDefault="00E60FD5" w:rsidP="006647A3">
      <w:pPr>
        <w:pStyle w:val="Heading2"/>
      </w:pPr>
      <w:r w:rsidRPr="003D6EAD">
        <w:t xml:space="preserve">Summary: Analysis and Evidence </w:t>
      </w:r>
      <w:r>
        <w:tab/>
      </w:r>
      <w:r w:rsidRPr="003D6EAD">
        <w:t>Po</w:t>
      </w:r>
      <w:r>
        <w:t>licy Option 2</w:t>
      </w:r>
    </w:p>
    <w:p w14:paraId="312C7AB2" w14:textId="07DDD6DB" w:rsidR="00E60FD5" w:rsidRPr="00DA5204" w:rsidRDefault="00E60FD5" w:rsidP="00E60FD5">
      <w:pPr>
        <w:tabs>
          <w:tab w:val="left" w:pos="7920"/>
        </w:tabs>
        <w:rPr>
          <w:szCs w:val="24"/>
        </w:rPr>
      </w:pPr>
      <w:r w:rsidRPr="000863FE">
        <w:rPr>
          <w:szCs w:val="24"/>
        </w:rPr>
        <w:t xml:space="preserve">Description: </w:t>
      </w:r>
      <w:r w:rsidR="00D03C7E" w:rsidRPr="000863FE">
        <w:rPr>
          <w:szCs w:val="24"/>
        </w:rPr>
        <w:t>Introduce secondary legislation which will underpin the online display provision set out in the Food Hygiene Rating Act (Northern Ireland) 2016</w:t>
      </w:r>
    </w:p>
    <w:p w14:paraId="126BBD3B" w14:textId="77777777" w:rsidR="00E60FD5" w:rsidRDefault="00E60FD5" w:rsidP="00E60FD5">
      <w:pPr>
        <w:tabs>
          <w:tab w:val="left" w:pos="7920"/>
        </w:tabs>
        <w:rPr>
          <w:sz w:val="22"/>
          <w:szCs w:val="22"/>
        </w:rPr>
      </w:pPr>
    </w:p>
    <w:p w14:paraId="4A474D9C" w14:textId="7E00E208" w:rsidR="00E60FD5" w:rsidRDefault="00E60FD5" w:rsidP="006647A3">
      <w:pPr>
        <w:pStyle w:val="Heading2"/>
      </w:pPr>
      <w:r w:rsidRPr="000863FE">
        <w:t xml:space="preserve">ECONOMIC ASSESSMENT (Option </w:t>
      </w:r>
      <w:r w:rsidR="00D03C7E" w:rsidRPr="006A0631">
        <w:t>2</w:t>
      </w:r>
      <w:r w:rsidRPr="000863FE">
        <w:t>)</w:t>
      </w:r>
    </w:p>
    <w:p w14:paraId="02EC3A3B" w14:textId="3B829D82" w:rsidR="00ED2911" w:rsidRDefault="00ED2911" w:rsidP="00E60FD5">
      <w:pPr>
        <w:tabs>
          <w:tab w:val="left" w:pos="7920"/>
        </w:tabs>
        <w:rPr>
          <w:b/>
          <w:szCs w:val="24"/>
        </w:rPr>
      </w:pPr>
    </w:p>
    <w:p w14:paraId="1CE16749" w14:textId="0E442AF2" w:rsidR="00ED2911" w:rsidRDefault="00ED2911" w:rsidP="00E60FD5">
      <w:pPr>
        <w:tabs>
          <w:tab w:val="left" w:pos="7920"/>
        </w:tabs>
        <w:rPr>
          <w:b/>
          <w:szCs w:val="24"/>
        </w:rPr>
      </w:pPr>
    </w:p>
    <w:tbl>
      <w:tblPr>
        <w:tblStyle w:val="TableGrid"/>
        <w:tblW w:w="0" w:type="auto"/>
        <w:tblLook w:val="04A0" w:firstRow="1" w:lastRow="0" w:firstColumn="1" w:lastColumn="0" w:noHBand="0" w:noVBand="1"/>
      </w:tblPr>
      <w:tblGrid>
        <w:gridCol w:w="2014"/>
        <w:gridCol w:w="2376"/>
        <w:gridCol w:w="1275"/>
        <w:gridCol w:w="2391"/>
        <w:gridCol w:w="2014"/>
      </w:tblGrid>
      <w:tr w:rsidR="00ED2911" w14:paraId="3EE26549" w14:textId="77777777" w:rsidTr="00ED2911">
        <w:tc>
          <w:tcPr>
            <w:tcW w:w="2014" w:type="dxa"/>
          </w:tcPr>
          <w:p w14:paraId="202FDF4F" w14:textId="130F4C40" w:rsidR="00ED2911" w:rsidRDefault="00ED2911" w:rsidP="003424B3">
            <w:pPr>
              <w:tabs>
                <w:tab w:val="left" w:pos="7920"/>
              </w:tabs>
              <w:rPr>
                <w:b/>
                <w:sz w:val="22"/>
                <w:szCs w:val="22"/>
              </w:rPr>
            </w:pPr>
            <w:r>
              <w:rPr>
                <w:b/>
                <w:szCs w:val="24"/>
              </w:rPr>
              <w:t>Costs</w:t>
            </w:r>
            <w:r w:rsidRPr="000863FE">
              <w:rPr>
                <w:b/>
                <w:szCs w:val="24"/>
              </w:rPr>
              <w:t xml:space="preserve"> (£m)</w:t>
            </w:r>
          </w:p>
        </w:tc>
        <w:tc>
          <w:tcPr>
            <w:tcW w:w="2376" w:type="dxa"/>
          </w:tcPr>
          <w:p w14:paraId="67969A36" w14:textId="77777777" w:rsidR="00ED2911" w:rsidRDefault="00ED2911" w:rsidP="003424B3">
            <w:pPr>
              <w:tabs>
                <w:tab w:val="left" w:pos="7920"/>
              </w:tabs>
              <w:rPr>
                <w:b/>
                <w:szCs w:val="24"/>
              </w:rPr>
            </w:pPr>
            <w:r w:rsidRPr="000863FE">
              <w:rPr>
                <w:b/>
                <w:szCs w:val="24"/>
              </w:rPr>
              <w:t>Total Transitional (Policy)</w:t>
            </w:r>
          </w:p>
          <w:p w14:paraId="52169EF9" w14:textId="77777777" w:rsidR="00ED2911" w:rsidRDefault="00ED2911" w:rsidP="003424B3">
            <w:pPr>
              <w:tabs>
                <w:tab w:val="left" w:pos="7920"/>
              </w:tabs>
              <w:rPr>
                <w:szCs w:val="24"/>
              </w:rPr>
            </w:pPr>
          </w:p>
          <w:p w14:paraId="17A6F285" w14:textId="23536A02" w:rsidR="00ED2911" w:rsidRDefault="00ED2911" w:rsidP="003424B3">
            <w:pPr>
              <w:tabs>
                <w:tab w:val="left" w:pos="7920"/>
              </w:tabs>
              <w:rPr>
                <w:b/>
                <w:sz w:val="22"/>
                <w:szCs w:val="22"/>
              </w:rPr>
            </w:pPr>
            <w:r>
              <w:rPr>
                <w:szCs w:val="24"/>
              </w:rPr>
              <w:t>(</w:t>
            </w:r>
            <w:r w:rsidRPr="000863FE">
              <w:rPr>
                <w:szCs w:val="24"/>
              </w:rPr>
              <w:t>2019 prices, 2023 Base Year)</w:t>
            </w:r>
            <w:r w:rsidRPr="000863FE">
              <w:rPr>
                <w:rStyle w:val="FootnoteReference"/>
                <w:sz w:val="24"/>
                <w:szCs w:val="24"/>
              </w:rPr>
              <w:footnoteReference w:id="3"/>
            </w:r>
          </w:p>
        </w:tc>
        <w:tc>
          <w:tcPr>
            <w:tcW w:w="1275" w:type="dxa"/>
          </w:tcPr>
          <w:p w14:paraId="7AB2972E" w14:textId="77777777" w:rsidR="00ED2911" w:rsidRDefault="00ED2911" w:rsidP="003424B3">
            <w:pPr>
              <w:tabs>
                <w:tab w:val="left" w:pos="7920"/>
              </w:tabs>
              <w:rPr>
                <w:b/>
                <w:sz w:val="22"/>
                <w:szCs w:val="22"/>
              </w:rPr>
            </w:pPr>
          </w:p>
          <w:p w14:paraId="305EA8C3" w14:textId="77777777" w:rsidR="00ED2911" w:rsidRDefault="00ED2911" w:rsidP="003424B3">
            <w:pPr>
              <w:tabs>
                <w:tab w:val="left" w:pos="7920"/>
              </w:tabs>
              <w:rPr>
                <w:b/>
                <w:sz w:val="22"/>
                <w:szCs w:val="22"/>
              </w:rPr>
            </w:pPr>
          </w:p>
          <w:p w14:paraId="3A7D0DCB" w14:textId="77777777" w:rsidR="00ED2911" w:rsidRPr="00ED2911" w:rsidRDefault="00ED2911" w:rsidP="003424B3">
            <w:pPr>
              <w:tabs>
                <w:tab w:val="left" w:pos="7920"/>
              </w:tabs>
              <w:rPr>
                <w:bCs/>
                <w:sz w:val="22"/>
                <w:szCs w:val="22"/>
              </w:rPr>
            </w:pPr>
            <w:r w:rsidRPr="00ED2911">
              <w:rPr>
                <w:bCs/>
                <w:sz w:val="22"/>
                <w:szCs w:val="22"/>
              </w:rPr>
              <w:t>Years</w:t>
            </w:r>
          </w:p>
        </w:tc>
        <w:tc>
          <w:tcPr>
            <w:tcW w:w="2391" w:type="dxa"/>
          </w:tcPr>
          <w:p w14:paraId="6A86ED20" w14:textId="77777777" w:rsidR="00ED2911" w:rsidRDefault="00ED2911" w:rsidP="003424B3">
            <w:pPr>
              <w:tabs>
                <w:tab w:val="left" w:pos="7920"/>
              </w:tabs>
              <w:rPr>
                <w:b/>
                <w:szCs w:val="24"/>
              </w:rPr>
            </w:pPr>
            <w:r w:rsidRPr="000863FE">
              <w:rPr>
                <w:b/>
                <w:szCs w:val="24"/>
              </w:rPr>
              <w:t>Average Annual (recurring)</w:t>
            </w:r>
          </w:p>
          <w:p w14:paraId="5543D04C" w14:textId="2CAAAFFE" w:rsidR="00ED2911" w:rsidRDefault="00ED2911" w:rsidP="003424B3">
            <w:pPr>
              <w:tabs>
                <w:tab w:val="left" w:pos="7920"/>
              </w:tabs>
              <w:rPr>
                <w:b/>
                <w:sz w:val="22"/>
                <w:szCs w:val="22"/>
              </w:rPr>
            </w:pPr>
            <w:r w:rsidRPr="000863FE">
              <w:rPr>
                <w:szCs w:val="24"/>
              </w:rPr>
              <w:t>(excl. transitional) (2019 prices, 2023 Base Year)</w:t>
            </w:r>
          </w:p>
        </w:tc>
        <w:tc>
          <w:tcPr>
            <w:tcW w:w="2014" w:type="dxa"/>
          </w:tcPr>
          <w:p w14:paraId="259ACE20" w14:textId="64978D44" w:rsidR="00ED2911" w:rsidRDefault="00ED2911" w:rsidP="003424B3">
            <w:pPr>
              <w:tabs>
                <w:tab w:val="left" w:pos="7920"/>
              </w:tabs>
              <w:rPr>
                <w:b/>
                <w:sz w:val="22"/>
                <w:szCs w:val="22"/>
              </w:rPr>
            </w:pPr>
            <w:r w:rsidRPr="000863FE">
              <w:rPr>
                <w:b/>
                <w:szCs w:val="24"/>
              </w:rPr>
              <w:t xml:space="preserve">Total </w:t>
            </w:r>
            <w:r>
              <w:rPr>
                <w:b/>
                <w:szCs w:val="24"/>
              </w:rPr>
              <w:t xml:space="preserve">Cost </w:t>
            </w:r>
            <w:r w:rsidRPr="000863FE">
              <w:rPr>
                <w:szCs w:val="24"/>
              </w:rPr>
              <w:t>(2019 prices, 2020 Base Year)</w:t>
            </w:r>
            <w:r w:rsidRPr="000863FE">
              <w:rPr>
                <w:rStyle w:val="FootnoteReference"/>
                <w:sz w:val="24"/>
                <w:szCs w:val="24"/>
              </w:rPr>
              <w:footnoteReference w:id="4"/>
            </w:r>
          </w:p>
        </w:tc>
      </w:tr>
      <w:tr w:rsidR="00ED2911" w14:paraId="7D169925" w14:textId="77777777" w:rsidTr="00ED2911">
        <w:tc>
          <w:tcPr>
            <w:tcW w:w="2014" w:type="dxa"/>
          </w:tcPr>
          <w:p w14:paraId="0E547C30" w14:textId="77777777" w:rsidR="00ED2911" w:rsidRDefault="00ED2911" w:rsidP="00ED2911">
            <w:pPr>
              <w:tabs>
                <w:tab w:val="left" w:pos="7920"/>
              </w:tabs>
              <w:rPr>
                <w:b/>
                <w:sz w:val="22"/>
                <w:szCs w:val="22"/>
              </w:rPr>
            </w:pPr>
            <w:r w:rsidRPr="000863FE">
              <w:rPr>
                <w:b/>
                <w:szCs w:val="24"/>
              </w:rPr>
              <w:t>Low</w:t>
            </w:r>
          </w:p>
        </w:tc>
        <w:tc>
          <w:tcPr>
            <w:tcW w:w="2376" w:type="dxa"/>
            <w:vAlign w:val="center"/>
          </w:tcPr>
          <w:p w14:paraId="5A2CE8AB" w14:textId="2DF43AA3" w:rsidR="00ED2911" w:rsidRDefault="00ED2911" w:rsidP="00ED2911">
            <w:pPr>
              <w:tabs>
                <w:tab w:val="left" w:pos="7920"/>
              </w:tabs>
              <w:rPr>
                <w:b/>
                <w:sz w:val="22"/>
                <w:szCs w:val="22"/>
              </w:rPr>
            </w:pPr>
            <w:r>
              <w:rPr>
                <w:b/>
                <w:szCs w:val="24"/>
              </w:rPr>
              <w:t>0.68</w:t>
            </w:r>
          </w:p>
        </w:tc>
        <w:tc>
          <w:tcPr>
            <w:tcW w:w="1275" w:type="dxa"/>
          </w:tcPr>
          <w:p w14:paraId="07E6E0E9" w14:textId="77777777" w:rsidR="00ED2911" w:rsidRDefault="00ED2911" w:rsidP="00ED2911">
            <w:pPr>
              <w:tabs>
                <w:tab w:val="left" w:pos="7920"/>
              </w:tabs>
              <w:rPr>
                <w:b/>
                <w:sz w:val="22"/>
                <w:szCs w:val="22"/>
              </w:rPr>
            </w:pPr>
            <w:r>
              <w:rPr>
                <w:b/>
                <w:sz w:val="22"/>
                <w:szCs w:val="22"/>
              </w:rPr>
              <w:t>10</w:t>
            </w:r>
          </w:p>
        </w:tc>
        <w:tc>
          <w:tcPr>
            <w:tcW w:w="2391" w:type="dxa"/>
            <w:vAlign w:val="center"/>
          </w:tcPr>
          <w:p w14:paraId="3F4EF6A1" w14:textId="58C90C1C" w:rsidR="00ED2911" w:rsidRDefault="00ED2911" w:rsidP="00ED2911">
            <w:pPr>
              <w:tabs>
                <w:tab w:val="left" w:pos="7920"/>
              </w:tabs>
              <w:rPr>
                <w:b/>
                <w:sz w:val="22"/>
                <w:szCs w:val="22"/>
              </w:rPr>
            </w:pPr>
            <w:r w:rsidRPr="000863FE">
              <w:rPr>
                <w:b/>
                <w:szCs w:val="24"/>
              </w:rPr>
              <w:t>0.0</w:t>
            </w:r>
            <w:r>
              <w:rPr>
                <w:b/>
                <w:szCs w:val="24"/>
              </w:rPr>
              <w:t>0</w:t>
            </w:r>
            <w:r>
              <w:rPr>
                <w:rStyle w:val="FootnoteReference"/>
                <w:b/>
                <w:szCs w:val="24"/>
              </w:rPr>
              <w:footnoteReference w:id="5"/>
            </w:r>
            <w:r>
              <w:rPr>
                <w:b/>
                <w:szCs w:val="24"/>
              </w:rPr>
              <w:t xml:space="preserve"> </w:t>
            </w:r>
            <w:r w:rsidRPr="000863FE">
              <w:rPr>
                <w:b/>
                <w:szCs w:val="24"/>
              </w:rPr>
              <w:t>Optional</w:t>
            </w:r>
          </w:p>
        </w:tc>
        <w:tc>
          <w:tcPr>
            <w:tcW w:w="2014" w:type="dxa"/>
            <w:vAlign w:val="center"/>
          </w:tcPr>
          <w:p w14:paraId="535849DE" w14:textId="493F4785" w:rsidR="00ED2911" w:rsidRDefault="00ED2911" w:rsidP="00ED2911">
            <w:pPr>
              <w:tabs>
                <w:tab w:val="left" w:pos="7920"/>
              </w:tabs>
              <w:rPr>
                <w:b/>
                <w:sz w:val="22"/>
                <w:szCs w:val="22"/>
              </w:rPr>
            </w:pPr>
            <w:r w:rsidRPr="000863FE">
              <w:rPr>
                <w:b/>
                <w:szCs w:val="24"/>
              </w:rPr>
              <w:t>0.</w:t>
            </w:r>
            <w:r>
              <w:rPr>
                <w:b/>
                <w:szCs w:val="24"/>
              </w:rPr>
              <w:t>61</w:t>
            </w:r>
            <w:r w:rsidRPr="000863FE">
              <w:rPr>
                <w:b/>
                <w:szCs w:val="24"/>
              </w:rPr>
              <w:t xml:space="preserve"> Optional</w:t>
            </w:r>
          </w:p>
        </w:tc>
      </w:tr>
      <w:tr w:rsidR="00ED2911" w14:paraId="7A9FFA22" w14:textId="77777777" w:rsidTr="00ED2911">
        <w:tc>
          <w:tcPr>
            <w:tcW w:w="2014" w:type="dxa"/>
          </w:tcPr>
          <w:p w14:paraId="66FE15ED" w14:textId="77777777" w:rsidR="00ED2911" w:rsidRDefault="00ED2911" w:rsidP="00ED2911">
            <w:pPr>
              <w:tabs>
                <w:tab w:val="left" w:pos="7920"/>
              </w:tabs>
              <w:rPr>
                <w:b/>
                <w:sz w:val="22"/>
                <w:szCs w:val="22"/>
              </w:rPr>
            </w:pPr>
            <w:r w:rsidRPr="000863FE">
              <w:rPr>
                <w:b/>
                <w:szCs w:val="24"/>
              </w:rPr>
              <w:t>High</w:t>
            </w:r>
          </w:p>
        </w:tc>
        <w:tc>
          <w:tcPr>
            <w:tcW w:w="2376" w:type="dxa"/>
            <w:vAlign w:val="center"/>
          </w:tcPr>
          <w:p w14:paraId="3C9C1E1B" w14:textId="2CC43AB3" w:rsidR="00ED2911" w:rsidRDefault="00ED2911" w:rsidP="00ED2911">
            <w:pPr>
              <w:tabs>
                <w:tab w:val="left" w:pos="7920"/>
              </w:tabs>
              <w:rPr>
                <w:b/>
                <w:sz w:val="22"/>
                <w:szCs w:val="22"/>
              </w:rPr>
            </w:pPr>
            <w:r>
              <w:rPr>
                <w:b/>
                <w:szCs w:val="24"/>
              </w:rPr>
              <w:t>0.80</w:t>
            </w:r>
          </w:p>
        </w:tc>
        <w:tc>
          <w:tcPr>
            <w:tcW w:w="1275" w:type="dxa"/>
          </w:tcPr>
          <w:p w14:paraId="4C3BD90F" w14:textId="3DF694FA" w:rsidR="00ED2911" w:rsidRDefault="00ED2911" w:rsidP="00ED2911">
            <w:pPr>
              <w:tabs>
                <w:tab w:val="left" w:pos="7920"/>
              </w:tabs>
              <w:rPr>
                <w:b/>
                <w:sz w:val="22"/>
                <w:szCs w:val="22"/>
              </w:rPr>
            </w:pPr>
            <w:r>
              <w:rPr>
                <w:b/>
                <w:sz w:val="22"/>
                <w:szCs w:val="22"/>
              </w:rPr>
              <w:t>10</w:t>
            </w:r>
          </w:p>
        </w:tc>
        <w:tc>
          <w:tcPr>
            <w:tcW w:w="2391" w:type="dxa"/>
            <w:vAlign w:val="center"/>
          </w:tcPr>
          <w:p w14:paraId="2F02F9D4" w14:textId="0C1B073D" w:rsidR="00ED2911" w:rsidRDefault="00ED2911" w:rsidP="00ED2911">
            <w:pPr>
              <w:tabs>
                <w:tab w:val="left" w:pos="7920"/>
              </w:tabs>
              <w:rPr>
                <w:b/>
                <w:sz w:val="22"/>
                <w:szCs w:val="22"/>
              </w:rPr>
            </w:pPr>
            <w:r w:rsidRPr="000863FE">
              <w:rPr>
                <w:b/>
                <w:szCs w:val="24"/>
              </w:rPr>
              <w:t>0.0</w:t>
            </w:r>
            <w:r>
              <w:rPr>
                <w:b/>
                <w:szCs w:val="24"/>
              </w:rPr>
              <w:t>0</w:t>
            </w:r>
            <w:r w:rsidRPr="000863FE">
              <w:rPr>
                <w:b/>
                <w:szCs w:val="24"/>
              </w:rPr>
              <w:t xml:space="preserve"> Optional</w:t>
            </w:r>
          </w:p>
        </w:tc>
        <w:tc>
          <w:tcPr>
            <w:tcW w:w="2014" w:type="dxa"/>
            <w:vAlign w:val="center"/>
          </w:tcPr>
          <w:p w14:paraId="20370AA4" w14:textId="09DE9383" w:rsidR="00ED2911" w:rsidRDefault="00ED2911" w:rsidP="00ED2911">
            <w:pPr>
              <w:tabs>
                <w:tab w:val="left" w:pos="7920"/>
              </w:tabs>
              <w:rPr>
                <w:b/>
                <w:sz w:val="22"/>
                <w:szCs w:val="22"/>
              </w:rPr>
            </w:pPr>
            <w:r w:rsidRPr="000863FE">
              <w:rPr>
                <w:b/>
                <w:szCs w:val="24"/>
              </w:rPr>
              <w:t>0.</w:t>
            </w:r>
            <w:r>
              <w:rPr>
                <w:b/>
                <w:szCs w:val="24"/>
              </w:rPr>
              <w:t>72</w:t>
            </w:r>
            <w:r w:rsidRPr="000863FE">
              <w:rPr>
                <w:b/>
                <w:szCs w:val="24"/>
              </w:rPr>
              <w:t xml:space="preserve"> Optional</w:t>
            </w:r>
          </w:p>
        </w:tc>
      </w:tr>
      <w:tr w:rsidR="00ED2911" w14:paraId="7ACEFC90" w14:textId="77777777" w:rsidTr="00ED2911">
        <w:tc>
          <w:tcPr>
            <w:tcW w:w="2014" w:type="dxa"/>
          </w:tcPr>
          <w:p w14:paraId="664BF245" w14:textId="77777777" w:rsidR="00ED2911" w:rsidRDefault="00ED2911" w:rsidP="00ED2911">
            <w:pPr>
              <w:tabs>
                <w:tab w:val="left" w:pos="7920"/>
              </w:tabs>
              <w:rPr>
                <w:b/>
                <w:sz w:val="22"/>
                <w:szCs w:val="22"/>
              </w:rPr>
            </w:pPr>
            <w:r w:rsidRPr="000863FE">
              <w:rPr>
                <w:b/>
                <w:szCs w:val="24"/>
              </w:rPr>
              <w:t>Best Estimate</w:t>
            </w:r>
          </w:p>
        </w:tc>
        <w:tc>
          <w:tcPr>
            <w:tcW w:w="2376" w:type="dxa"/>
          </w:tcPr>
          <w:p w14:paraId="0A9A2E17" w14:textId="208701B0" w:rsidR="00ED2911" w:rsidRDefault="00ED2911" w:rsidP="00ED2911">
            <w:pPr>
              <w:tabs>
                <w:tab w:val="left" w:pos="7920"/>
              </w:tabs>
              <w:rPr>
                <w:b/>
                <w:sz w:val="22"/>
                <w:szCs w:val="22"/>
              </w:rPr>
            </w:pPr>
            <w:r>
              <w:rPr>
                <w:b/>
                <w:szCs w:val="24"/>
              </w:rPr>
              <w:t>0.74</w:t>
            </w:r>
          </w:p>
        </w:tc>
        <w:tc>
          <w:tcPr>
            <w:tcW w:w="1275" w:type="dxa"/>
          </w:tcPr>
          <w:p w14:paraId="57E6E6D8" w14:textId="10E9778E" w:rsidR="00ED2911" w:rsidRDefault="00ED2911" w:rsidP="00ED2911">
            <w:pPr>
              <w:tabs>
                <w:tab w:val="left" w:pos="7920"/>
              </w:tabs>
              <w:rPr>
                <w:b/>
                <w:sz w:val="22"/>
                <w:szCs w:val="22"/>
              </w:rPr>
            </w:pPr>
            <w:r>
              <w:rPr>
                <w:b/>
                <w:sz w:val="22"/>
                <w:szCs w:val="22"/>
              </w:rPr>
              <w:t>10</w:t>
            </w:r>
          </w:p>
        </w:tc>
        <w:tc>
          <w:tcPr>
            <w:tcW w:w="2391" w:type="dxa"/>
          </w:tcPr>
          <w:p w14:paraId="5032D90A" w14:textId="35FAEAD9" w:rsidR="00ED2911" w:rsidRDefault="00ED2911" w:rsidP="00ED2911">
            <w:pPr>
              <w:tabs>
                <w:tab w:val="left" w:pos="7920"/>
              </w:tabs>
              <w:rPr>
                <w:b/>
                <w:sz w:val="22"/>
                <w:szCs w:val="22"/>
              </w:rPr>
            </w:pPr>
            <w:r w:rsidRPr="000863FE">
              <w:rPr>
                <w:b/>
                <w:szCs w:val="24"/>
              </w:rPr>
              <w:t>0.0</w:t>
            </w:r>
            <w:r>
              <w:rPr>
                <w:b/>
                <w:szCs w:val="24"/>
              </w:rPr>
              <w:t>0</w:t>
            </w:r>
          </w:p>
        </w:tc>
        <w:tc>
          <w:tcPr>
            <w:tcW w:w="2014" w:type="dxa"/>
          </w:tcPr>
          <w:p w14:paraId="49BD360A" w14:textId="03A8D359" w:rsidR="00ED2911" w:rsidRDefault="00ED2911" w:rsidP="00ED2911">
            <w:pPr>
              <w:tabs>
                <w:tab w:val="left" w:pos="7920"/>
              </w:tabs>
              <w:rPr>
                <w:b/>
                <w:sz w:val="22"/>
                <w:szCs w:val="22"/>
              </w:rPr>
            </w:pPr>
            <w:r w:rsidRPr="000863FE">
              <w:rPr>
                <w:b/>
                <w:szCs w:val="24"/>
              </w:rPr>
              <w:t>0.</w:t>
            </w:r>
            <w:r>
              <w:rPr>
                <w:b/>
                <w:szCs w:val="24"/>
              </w:rPr>
              <w:t>6</w:t>
            </w:r>
            <w:r w:rsidRPr="000863FE">
              <w:rPr>
                <w:b/>
                <w:szCs w:val="24"/>
              </w:rPr>
              <w:t>7</w:t>
            </w:r>
          </w:p>
        </w:tc>
      </w:tr>
    </w:tbl>
    <w:p w14:paraId="68304E11" w14:textId="77777777" w:rsidR="00ED2911" w:rsidRDefault="00ED2911" w:rsidP="00E60FD5">
      <w:pPr>
        <w:tabs>
          <w:tab w:val="left" w:pos="7920"/>
        </w:tabs>
        <w:rPr>
          <w:b/>
          <w:szCs w:val="24"/>
        </w:rPr>
      </w:pPr>
    </w:p>
    <w:p w14:paraId="4F354F0B" w14:textId="4B264A10" w:rsidR="00ED2911" w:rsidRDefault="00ED2911" w:rsidP="00E60FD5">
      <w:pPr>
        <w:tabs>
          <w:tab w:val="left" w:pos="7920"/>
        </w:tabs>
        <w:rPr>
          <w:b/>
          <w:szCs w:val="24"/>
        </w:rPr>
      </w:pPr>
    </w:p>
    <w:p w14:paraId="288C3D96" w14:textId="77777777" w:rsidR="00E60FD5" w:rsidRPr="00AA4ABF" w:rsidRDefault="00E60FD5" w:rsidP="00E60FD5">
      <w:pPr>
        <w:rPr>
          <w:sz w:val="20"/>
        </w:rPr>
      </w:pPr>
    </w:p>
    <w:p w14:paraId="2723614F" w14:textId="580CCFD7" w:rsidR="00E60FD5" w:rsidRDefault="00E60FD5" w:rsidP="006647A3">
      <w:pPr>
        <w:pStyle w:val="Heading2"/>
      </w:pPr>
      <w:r w:rsidRPr="000863FE">
        <w:t xml:space="preserve">BUSINESS ASSESSMENT (Option </w:t>
      </w:r>
      <w:r w:rsidR="005723FC" w:rsidRPr="000863FE">
        <w:t>2</w:t>
      </w:r>
      <w:r w:rsidRPr="000863FE">
        <w:t>)</w:t>
      </w:r>
    </w:p>
    <w:p w14:paraId="7E8E5520" w14:textId="3564ADA7" w:rsidR="00520F9E" w:rsidRDefault="00520F9E" w:rsidP="00E60FD5">
      <w:pPr>
        <w:tabs>
          <w:tab w:val="left" w:pos="7920"/>
        </w:tabs>
        <w:rPr>
          <w:b/>
          <w:szCs w:val="24"/>
        </w:rPr>
      </w:pPr>
    </w:p>
    <w:tbl>
      <w:tblPr>
        <w:tblStyle w:val="TableGrid"/>
        <w:tblW w:w="0" w:type="auto"/>
        <w:tblLook w:val="01E0" w:firstRow="1" w:lastRow="1" w:firstColumn="1" w:lastColumn="1" w:noHBand="0" w:noVBand="0"/>
      </w:tblPr>
      <w:tblGrid>
        <w:gridCol w:w="6826"/>
        <w:gridCol w:w="1250"/>
        <w:gridCol w:w="1994"/>
      </w:tblGrid>
      <w:tr w:rsidR="00520F9E" w14:paraId="0CC707EA" w14:textId="77777777" w:rsidTr="00520F9E">
        <w:tc>
          <w:tcPr>
            <w:tcW w:w="6826" w:type="dxa"/>
          </w:tcPr>
          <w:p w14:paraId="68B10FDD" w14:textId="77777777" w:rsidR="00520F9E" w:rsidRPr="000863FE" w:rsidRDefault="00520F9E" w:rsidP="003424B3">
            <w:pPr>
              <w:tabs>
                <w:tab w:val="left" w:pos="7920"/>
              </w:tabs>
              <w:rPr>
                <w:b/>
                <w:szCs w:val="24"/>
              </w:rPr>
            </w:pPr>
            <w:r w:rsidRPr="000863FE">
              <w:rPr>
                <w:b/>
                <w:szCs w:val="24"/>
              </w:rPr>
              <w:t>Direct Impact on business (Equivalent Annual) £m</w:t>
            </w:r>
          </w:p>
        </w:tc>
        <w:tc>
          <w:tcPr>
            <w:tcW w:w="1250" w:type="dxa"/>
          </w:tcPr>
          <w:p w14:paraId="6BBA81E6" w14:textId="77777777" w:rsidR="00520F9E" w:rsidRPr="000863FE" w:rsidRDefault="00520F9E" w:rsidP="003424B3">
            <w:pPr>
              <w:tabs>
                <w:tab w:val="left" w:pos="7920"/>
              </w:tabs>
              <w:rPr>
                <w:b/>
                <w:szCs w:val="24"/>
              </w:rPr>
            </w:pPr>
          </w:p>
        </w:tc>
        <w:tc>
          <w:tcPr>
            <w:tcW w:w="1994" w:type="dxa"/>
          </w:tcPr>
          <w:p w14:paraId="6D1654FB" w14:textId="77777777" w:rsidR="00520F9E" w:rsidRPr="000863FE" w:rsidRDefault="00520F9E" w:rsidP="003424B3">
            <w:pPr>
              <w:tabs>
                <w:tab w:val="left" w:pos="7920"/>
              </w:tabs>
              <w:rPr>
                <w:b/>
                <w:szCs w:val="24"/>
              </w:rPr>
            </w:pPr>
          </w:p>
        </w:tc>
      </w:tr>
    </w:tbl>
    <w:p w14:paraId="76BDAA6F" w14:textId="77777777" w:rsidR="00520F9E" w:rsidRPr="000863FE" w:rsidRDefault="00520F9E" w:rsidP="00E60FD5">
      <w:pPr>
        <w:tabs>
          <w:tab w:val="left" w:pos="7920"/>
        </w:tabs>
        <w:rPr>
          <w:b/>
          <w:szCs w:val="24"/>
        </w:rPr>
      </w:pPr>
    </w:p>
    <w:tbl>
      <w:tblPr>
        <w:tblStyle w:val="TableGrid"/>
        <w:tblW w:w="0" w:type="auto"/>
        <w:tblLook w:val="01E0" w:firstRow="1" w:lastRow="1" w:firstColumn="1" w:lastColumn="1" w:noHBand="0" w:noVBand="0"/>
      </w:tblPr>
      <w:tblGrid>
        <w:gridCol w:w="2284"/>
        <w:gridCol w:w="2282"/>
        <w:gridCol w:w="2260"/>
        <w:gridCol w:w="1250"/>
        <w:gridCol w:w="1994"/>
      </w:tblGrid>
      <w:tr w:rsidR="00E60FD5" w14:paraId="029D5968" w14:textId="77777777" w:rsidTr="00520F9E">
        <w:trPr>
          <w:trHeight w:hRule="exact" w:val="284"/>
        </w:trPr>
        <w:tc>
          <w:tcPr>
            <w:tcW w:w="2284" w:type="dxa"/>
          </w:tcPr>
          <w:p w14:paraId="28A1A9B0" w14:textId="1777C6B9" w:rsidR="00E60FD5" w:rsidRPr="000863FE" w:rsidRDefault="00E60FD5" w:rsidP="00EB61DD">
            <w:pPr>
              <w:tabs>
                <w:tab w:val="left" w:pos="7920"/>
              </w:tabs>
              <w:rPr>
                <w:b/>
                <w:szCs w:val="24"/>
              </w:rPr>
            </w:pPr>
            <w:r w:rsidRPr="000863FE">
              <w:rPr>
                <w:b/>
                <w:szCs w:val="24"/>
              </w:rPr>
              <w:t>Costs:</w:t>
            </w:r>
            <w:r w:rsidR="009B7745" w:rsidRPr="000863FE">
              <w:rPr>
                <w:b/>
                <w:szCs w:val="24"/>
              </w:rPr>
              <w:t>0.0</w:t>
            </w:r>
            <w:r w:rsidR="00E2410A" w:rsidRPr="000863FE">
              <w:rPr>
                <w:b/>
                <w:szCs w:val="24"/>
              </w:rPr>
              <w:t>7</w:t>
            </w:r>
          </w:p>
        </w:tc>
        <w:tc>
          <w:tcPr>
            <w:tcW w:w="2282" w:type="dxa"/>
          </w:tcPr>
          <w:p w14:paraId="5CF79BC7" w14:textId="5EA15E3F" w:rsidR="00E60FD5" w:rsidRPr="000863FE" w:rsidRDefault="00E60FD5" w:rsidP="00EB61DD">
            <w:pPr>
              <w:tabs>
                <w:tab w:val="left" w:pos="7920"/>
              </w:tabs>
              <w:rPr>
                <w:b/>
                <w:szCs w:val="24"/>
              </w:rPr>
            </w:pPr>
            <w:r w:rsidRPr="000863FE">
              <w:rPr>
                <w:b/>
                <w:szCs w:val="24"/>
              </w:rPr>
              <w:t>Benefits:</w:t>
            </w:r>
            <w:r w:rsidR="009B7745" w:rsidRPr="000863FE">
              <w:rPr>
                <w:b/>
                <w:szCs w:val="24"/>
              </w:rPr>
              <w:t>0</w:t>
            </w:r>
          </w:p>
        </w:tc>
        <w:tc>
          <w:tcPr>
            <w:tcW w:w="2260" w:type="dxa"/>
          </w:tcPr>
          <w:p w14:paraId="22200F24" w14:textId="690F5343" w:rsidR="00E60FD5" w:rsidRPr="000863FE" w:rsidRDefault="00E60FD5" w:rsidP="00EB61DD">
            <w:pPr>
              <w:tabs>
                <w:tab w:val="left" w:pos="7920"/>
              </w:tabs>
              <w:rPr>
                <w:b/>
                <w:szCs w:val="24"/>
              </w:rPr>
            </w:pPr>
            <w:r w:rsidRPr="000863FE">
              <w:rPr>
                <w:b/>
                <w:szCs w:val="24"/>
              </w:rPr>
              <w:t>Net:</w:t>
            </w:r>
            <w:r w:rsidR="009B7745" w:rsidRPr="000863FE">
              <w:rPr>
                <w:b/>
                <w:szCs w:val="24"/>
              </w:rPr>
              <w:t>-0.0</w:t>
            </w:r>
            <w:r w:rsidR="00E2410A" w:rsidRPr="000863FE">
              <w:rPr>
                <w:b/>
                <w:szCs w:val="24"/>
              </w:rPr>
              <w:t>7</w:t>
            </w:r>
          </w:p>
        </w:tc>
        <w:tc>
          <w:tcPr>
            <w:tcW w:w="1250" w:type="dxa"/>
          </w:tcPr>
          <w:p w14:paraId="42F1967E" w14:textId="77777777" w:rsidR="00E60FD5" w:rsidRPr="000863FE" w:rsidRDefault="00E60FD5" w:rsidP="00EB61DD">
            <w:pPr>
              <w:tabs>
                <w:tab w:val="left" w:pos="7920"/>
              </w:tabs>
              <w:rPr>
                <w:b/>
                <w:szCs w:val="24"/>
              </w:rPr>
            </w:pPr>
          </w:p>
        </w:tc>
        <w:tc>
          <w:tcPr>
            <w:tcW w:w="1994" w:type="dxa"/>
          </w:tcPr>
          <w:p w14:paraId="49274560" w14:textId="77777777" w:rsidR="00E60FD5" w:rsidRPr="000863FE" w:rsidRDefault="00E60FD5" w:rsidP="00EB61DD">
            <w:pPr>
              <w:tabs>
                <w:tab w:val="left" w:pos="7920"/>
              </w:tabs>
              <w:rPr>
                <w:b/>
                <w:szCs w:val="24"/>
              </w:rPr>
            </w:pPr>
          </w:p>
        </w:tc>
      </w:tr>
    </w:tbl>
    <w:p w14:paraId="697BA2FA" w14:textId="77777777" w:rsidR="00E60FD5" w:rsidRPr="000863FE" w:rsidRDefault="00E60FD5" w:rsidP="00E60FD5">
      <w:pPr>
        <w:tabs>
          <w:tab w:val="left" w:pos="7920"/>
        </w:tabs>
        <w:rPr>
          <w:szCs w:val="24"/>
        </w:rPr>
      </w:pPr>
    </w:p>
    <w:p w14:paraId="47283381" w14:textId="1C2DCB46" w:rsidR="00E60FD5" w:rsidRPr="000863FE" w:rsidRDefault="00E60FD5" w:rsidP="006647A3">
      <w:pPr>
        <w:pStyle w:val="Heading2"/>
      </w:pPr>
      <w:r w:rsidRPr="000863FE">
        <w:lastRenderedPageBreak/>
        <w:t xml:space="preserve">Cross Border Issues (Option </w:t>
      </w:r>
      <w:r w:rsidR="005723FC" w:rsidRPr="000863FE">
        <w:t>2</w:t>
      </w:r>
      <w:r w:rsidRPr="000863FE">
        <w:t>)</w:t>
      </w:r>
    </w:p>
    <w:tbl>
      <w:tblPr>
        <w:tblStyle w:val="TableGrid"/>
        <w:tblW w:w="0" w:type="auto"/>
        <w:tblLook w:val="01E0" w:firstRow="1" w:lastRow="1" w:firstColumn="1" w:lastColumn="1" w:noHBand="0" w:noVBand="0"/>
      </w:tblPr>
      <w:tblGrid>
        <w:gridCol w:w="10070"/>
      </w:tblGrid>
      <w:tr w:rsidR="00E60FD5" w14:paraId="74330D68" w14:textId="77777777" w:rsidTr="00520F9E">
        <w:trPr>
          <w:trHeight w:hRule="exact" w:val="1900"/>
        </w:trPr>
        <w:tc>
          <w:tcPr>
            <w:tcW w:w="10296" w:type="dxa"/>
          </w:tcPr>
          <w:p w14:paraId="6C4CAECE" w14:textId="77777777" w:rsidR="00E60FD5" w:rsidRPr="000863FE" w:rsidRDefault="00E60FD5" w:rsidP="00EB61DD">
            <w:pPr>
              <w:tabs>
                <w:tab w:val="left" w:pos="7920"/>
              </w:tabs>
              <w:rPr>
                <w:szCs w:val="24"/>
              </w:rPr>
            </w:pPr>
            <w:r w:rsidRPr="000863FE">
              <w:rPr>
                <w:b/>
                <w:szCs w:val="24"/>
              </w:rPr>
              <w:t xml:space="preserve">How does this option compare to other UK regions and to other EU Member States (particularly Republic of Ireland) </w:t>
            </w:r>
            <w:r w:rsidRPr="000863FE">
              <w:rPr>
                <w:szCs w:val="24"/>
              </w:rPr>
              <w:t>Maximum 3 lines</w:t>
            </w:r>
          </w:p>
          <w:p w14:paraId="2302BBDF" w14:textId="1E0E79B7" w:rsidR="00717691" w:rsidRPr="00356C81" w:rsidRDefault="00717691" w:rsidP="00717691">
            <w:r>
              <w:t>In Wales the statutory Food Hygiene Rating Scheme is set out in primary legislation and associated secondary legislation however there is no legal requirement for businesses to display their ratings online. Voluntary schemes operate in England and Scotland. There is no similar scheme operating in Republic of Ireland.</w:t>
            </w:r>
          </w:p>
          <w:p w14:paraId="54DB17F6" w14:textId="28B09750" w:rsidR="00E60FD5" w:rsidRPr="000863FE" w:rsidRDefault="00E60FD5" w:rsidP="00EB61DD">
            <w:pPr>
              <w:tabs>
                <w:tab w:val="left" w:pos="7920"/>
              </w:tabs>
              <w:rPr>
                <w:szCs w:val="24"/>
              </w:rPr>
            </w:pPr>
          </w:p>
        </w:tc>
      </w:tr>
    </w:tbl>
    <w:p w14:paraId="207F2E36" w14:textId="77777777" w:rsidR="00E60FD5" w:rsidRPr="000863FE" w:rsidRDefault="00E60FD5" w:rsidP="003D6EAD">
      <w:pPr>
        <w:tabs>
          <w:tab w:val="left" w:pos="7920"/>
        </w:tabs>
        <w:rPr>
          <w:szCs w:val="24"/>
        </w:rPr>
      </w:pPr>
    </w:p>
    <w:p w14:paraId="37E2FD28" w14:textId="77777777" w:rsidR="00107D34" w:rsidRPr="000863FE" w:rsidRDefault="00107D34" w:rsidP="003D6EAD">
      <w:pPr>
        <w:tabs>
          <w:tab w:val="left" w:pos="7920"/>
        </w:tabs>
        <w:rPr>
          <w:szCs w:val="24"/>
        </w:rPr>
      </w:pPr>
    </w:p>
    <w:p w14:paraId="6198387D" w14:textId="10D27A7F" w:rsidR="00B24D58" w:rsidRDefault="00B24D58" w:rsidP="006647A3">
      <w:pPr>
        <w:pStyle w:val="Heading2"/>
        <w:rPr>
          <w:rFonts w:eastAsia="Calibri"/>
        </w:rPr>
      </w:pPr>
      <w:r w:rsidRPr="008478B9">
        <w:rPr>
          <w:rFonts w:eastAsia="Calibri"/>
        </w:rPr>
        <w:t>Backgrou</w:t>
      </w:r>
      <w:r w:rsidR="006647A3">
        <w:rPr>
          <w:rFonts w:eastAsia="Calibri"/>
        </w:rPr>
        <w:t>nd</w:t>
      </w:r>
    </w:p>
    <w:p w14:paraId="75B21E3E" w14:textId="77777777" w:rsidR="006647A3" w:rsidRPr="006647A3" w:rsidRDefault="006647A3" w:rsidP="006647A3">
      <w:pPr>
        <w:rPr>
          <w:rFonts w:eastAsia="Calibri"/>
        </w:rPr>
      </w:pPr>
    </w:p>
    <w:p w14:paraId="002303EB" w14:textId="3C47FFFE" w:rsidR="00EA6997" w:rsidRDefault="00E11B3E" w:rsidP="61266E4B">
      <w:pPr>
        <w:pStyle w:val="ListParagraph"/>
        <w:keepLines/>
        <w:numPr>
          <w:ilvl w:val="0"/>
          <w:numId w:val="7"/>
        </w:numPr>
        <w:tabs>
          <w:tab w:val="left" w:pos="720"/>
        </w:tabs>
        <w:spacing w:after="240"/>
        <w:rPr>
          <w:rFonts w:eastAsia="Arial" w:cs="Arial"/>
          <w:color w:val="000000" w:themeColor="text1"/>
        </w:rPr>
      </w:pPr>
      <w:r w:rsidRPr="007C0703">
        <w:t>The Food Hygiene Rating Act (Northern Ireland) 2016 introduced a sta</w:t>
      </w:r>
      <w:r w:rsidRPr="00E11B3E">
        <w:t xml:space="preserve">tutory food hygiene rating scheme in Northern Ireland (NI). The legislation includes provisions which make it mandatory for food businesses in NI to display food hygiene rating (FHR) stickers at their premises and, if consumers can order food online, to display their FHR online in a specified manner. </w:t>
      </w:r>
      <w:r w:rsidR="1DD92792">
        <w:t>Section 7(3) of the</w:t>
      </w:r>
      <w:r w:rsidR="27FD8C29" w:rsidRPr="61266E4B">
        <w:rPr>
          <w:rFonts w:eastAsia="Arial" w:cs="Arial"/>
          <w:color w:val="000000" w:themeColor="text1"/>
        </w:rPr>
        <w:t xml:space="preserve"> Act makes provision for </w:t>
      </w:r>
      <w:r w:rsidR="27FD8C29" w:rsidRPr="21240853">
        <w:rPr>
          <w:rFonts w:eastAsia="Arial" w:cs="Arial"/>
          <w:color w:val="000000" w:themeColor="text1"/>
        </w:rPr>
        <w:t>the Department to introduce Regulations</w:t>
      </w:r>
      <w:r w:rsidR="27FD8C29" w:rsidRPr="61266E4B">
        <w:rPr>
          <w:rFonts w:eastAsia="Arial" w:cs="Arial"/>
          <w:color w:val="000000" w:themeColor="text1"/>
        </w:rPr>
        <w:t xml:space="preserve"> regarding the </w:t>
      </w:r>
      <w:r w:rsidR="27FD8C29" w:rsidRPr="21240853">
        <w:rPr>
          <w:rFonts w:eastAsia="Arial" w:cs="Arial"/>
          <w:color w:val="000000" w:themeColor="text1"/>
        </w:rPr>
        <w:t>display</w:t>
      </w:r>
      <w:r w:rsidR="0023689E">
        <w:rPr>
          <w:rFonts w:eastAsia="Arial" w:cs="Arial"/>
          <w:color w:val="000000" w:themeColor="text1"/>
        </w:rPr>
        <w:t xml:space="preserve"> </w:t>
      </w:r>
      <w:r w:rsidR="27FD8C29" w:rsidRPr="61266E4B">
        <w:rPr>
          <w:rFonts w:eastAsia="Arial" w:cs="Arial"/>
          <w:color w:val="000000" w:themeColor="text1"/>
        </w:rPr>
        <w:t>of ratings online by food business operators who supply consumers with food that they order using an online facility. The requirement was introduced at the committee stage of the Food Hygiene Rating Bill (precursor to the Act) at the request of the members</w:t>
      </w:r>
      <w:r w:rsidR="27FD8C29" w:rsidRPr="61266E4B">
        <w:rPr>
          <w:rFonts w:eastAsia="Arial" w:cs="Arial"/>
          <w:color w:val="000000" w:themeColor="text1"/>
          <w:vertAlign w:val="superscript"/>
        </w:rPr>
        <w:t>1</w:t>
      </w:r>
      <w:r w:rsidR="27FD8C29" w:rsidRPr="61266E4B">
        <w:rPr>
          <w:rFonts w:eastAsia="Arial" w:cs="Arial"/>
          <w:color w:val="000000" w:themeColor="text1"/>
        </w:rPr>
        <w:t>.</w:t>
      </w:r>
      <w:r w:rsidR="27FD8C29">
        <w:t xml:space="preserve"> </w:t>
      </w:r>
      <w:r>
        <w:br/>
      </w:r>
    </w:p>
    <w:p w14:paraId="25C0AA8B" w14:textId="7DC352F7" w:rsidR="00EA6997" w:rsidRDefault="00E11B3E" w:rsidP="007C0703">
      <w:pPr>
        <w:pStyle w:val="ListParagraph"/>
        <w:keepLines/>
        <w:numPr>
          <w:ilvl w:val="0"/>
          <w:numId w:val="7"/>
        </w:numPr>
        <w:tabs>
          <w:tab w:val="left" w:pos="720"/>
        </w:tabs>
        <w:spacing w:after="240"/>
        <w:rPr>
          <w:rFonts w:eastAsia="Arial" w:cs="Arial"/>
          <w:color w:val="000000" w:themeColor="text1"/>
        </w:rPr>
      </w:pPr>
      <w:r w:rsidRPr="00E11B3E">
        <w:t xml:space="preserve">Secondary legislation has been implemented to require the display of the FHR at physical establishments however there is currently no legislation in place to regulate display of the FHR online. </w:t>
      </w:r>
      <w:r w:rsidR="27FD8C29" w:rsidRPr="61266E4B">
        <w:rPr>
          <w:rFonts w:eastAsia="Arial" w:cs="Arial"/>
          <w:color w:val="000000" w:themeColor="text1"/>
        </w:rPr>
        <w:t>The last remaining provision of the Act which requires underpinning secondary legislation is the FHR online display requirement.</w:t>
      </w:r>
      <w:r w:rsidR="1DD92792">
        <w:t xml:space="preserve"> </w:t>
      </w:r>
      <w:r w:rsidRPr="00E11B3E">
        <w:t xml:space="preserve">A new piece of legislation is </w:t>
      </w:r>
      <w:r w:rsidR="1DD92792">
        <w:t xml:space="preserve">therefore </w:t>
      </w:r>
      <w:r w:rsidRPr="00E11B3E">
        <w:t>required</w:t>
      </w:r>
      <w:r w:rsidR="1DD92792">
        <w:t>.</w:t>
      </w:r>
    </w:p>
    <w:p w14:paraId="6FC30A37" w14:textId="0C8ECDB6" w:rsidR="00BC2155" w:rsidRPr="00F036A2" w:rsidRDefault="00BC2155" w:rsidP="007C0703">
      <w:pPr>
        <w:pStyle w:val="IAIOQ1"/>
        <w:numPr>
          <w:ilvl w:val="0"/>
          <w:numId w:val="7"/>
        </w:numPr>
        <w:spacing w:before="240" w:after="60"/>
        <w:ind w:right="0"/>
        <w:rPr>
          <w:b w:val="0"/>
          <w:bCs/>
          <w:sz w:val="24"/>
          <w:szCs w:val="24"/>
        </w:rPr>
      </w:pPr>
      <w:r w:rsidRPr="00F036A2">
        <w:rPr>
          <w:b w:val="0"/>
          <w:bCs/>
          <w:sz w:val="24"/>
          <w:szCs w:val="24"/>
        </w:rPr>
        <w:t>The objective is to introduce secondary legislation that will underpin the online display provision set out in the Food Hygiene Rating Act (Northern Ireland) 2016. This will require food businesses in NI providing food online by means of an online order facility to display a valid FHR online.  This will act as an important commercial driver for food businesses to maintain and improve compliance with food hygiene law. It will provide consumers with information to help them make informed choices when ordering food online and promote public health protection.</w:t>
      </w:r>
      <w:r w:rsidRPr="00F036A2">
        <w:rPr>
          <w:b w:val="0"/>
          <w:bCs/>
          <w:sz w:val="24"/>
          <w:szCs w:val="24"/>
          <w:lang w:val="en"/>
        </w:rPr>
        <w:t xml:space="preserve">  While the proposed regulations will apply only to businesses within scope of the statutory Food Hygiene Rating Scheme in NI, the FSA will be putting in place a range of measures to support and encourage businesses across England, Wales and NI to display their FHR online.</w:t>
      </w:r>
    </w:p>
    <w:p w14:paraId="0FA3DB45" w14:textId="1492A15F" w:rsidR="00F42018" w:rsidRDefault="00EF3080" w:rsidP="00B2295D">
      <w:pPr>
        <w:pStyle w:val="ListParagraph"/>
        <w:numPr>
          <w:ilvl w:val="0"/>
          <w:numId w:val="7"/>
        </w:numPr>
        <w:tabs>
          <w:tab w:val="left" w:pos="7920"/>
        </w:tabs>
        <w:spacing w:before="240" w:after="60"/>
        <w:rPr>
          <w:rFonts w:eastAsia="Calibri"/>
          <w:bCs/>
        </w:rPr>
      </w:pPr>
      <w:r w:rsidRPr="00BA1772">
        <w:rPr>
          <w:rFonts w:eastAsia="Calibri"/>
          <w:bCs/>
        </w:rPr>
        <w:t xml:space="preserve">FHRS data gathered since the introduction of the food hygiene rating scheme Northern Ireland in 2011 has demonstrated how the policy objectives of the scheme and subsequent legislation have been met. </w:t>
      </w:r>
      <w:r w:rsidR="00B2295D">
        <w:rPr>
          <w:rFonts w:eastAsia="Calibri"/>
          <w:bCs/>
        </w:rPr>
        <w:t>As illustrated by the findings depicted in Figure 1,</w:t>
      </w:r>
      <w:r w:rsidRPr="00BA1772">
        <w:rPr>
          <w:rFonts w:eastAsia="Calibri"/>
          <w:bCs/>
        </w:rPr>
        <w:t xml:space="preserve"> the introduction of the Act in 2016 and the implementing regulations was </w:t>
      </w:r>
      <w:r w:rsidR="008C3528">
        <w:rPr>
          <w:rFonts w:eastAsia="Calibri"/>
          <w:bCs/>
        </w:rPr>
        <w:t xml:space="preserve">followed by </w:t>
      </w:r>
      <w:r w:rsidRPr="00BA1772">
        <w:rPr>
          <w:rFonts w:eastAsia="Calibri"/>
          <w:bCs/>
        </w:rPr>
        <w:t>a substantial increase in 5 rated premises</w:t>
      </w:r>
      <w:r w:rsidR="008C3528">
        <w:rPr>
          <w:rFonts w:eastAsia="Calibri"/>
          <w:bCs/>
        </w:rPr>
        <w:t>,</w:t>
      </w:r>
      <w:r w:rsidRPr="00BA1772">
        <w:rPr>
          <w:rFonts w:eastAsia="Calibri"/>
          <w:bCs/>
        </w:rPr>
        <w:t xml:space="preserve"> and the number of 0,1 and 2 rated businesses fell to less than 1%. The most recent FSA commissioned food hygiene rating display audit </w:t>
      </w:r>
      <w:r w:rsidRPr="008C3528">
        <w:rPr>
          <w:rFonts w:eastAsia="Calibri"/>
        </w:rPr>
        <w:t>has shown that 83% of food businesses in NI receiving a rating of less than 5 stated they have taken action to improve their rating</w:t>
      </w:r>
      <w:r w:rsidR="00EF454E">
        <w:rPr>
          <w:rStyle w:val="FootnoteReference"/>
          <w:rFonts w:eastAsia="Calibri"/>
        </w:rPr>
        <w:footnoteReference w:id="6"/>
      </w:r>
      <w:r w:rsidRPr="008C3528">
        <w:rPr>
          <w:rFonts w:eastAsia="Calibri"/>
        </w:rPr>
        <w:t>.</w:t>
      </w:r>
      <w:r w:rsidRPr="00BA1772">
        <w:rPr>
          <w:rFonts w:eastAsia="Calibri"/>
          <w:bCs/>
        </w:rPr>
        <w:t xml:space="preserve"> The research also reported that in Northern Ireland 94% of surveyed businesses were in favour of mandatory online display of food hygiene rati</w:t>
      </w:r>
      <w:r w:rsidR="0014501A">
        <w:rPr>
          <w:rFonts w:eastAsia="Calibri"/>
          <w:bCs/>
        </w:rPr>
        <w:t>ngs</w:t>
      </w:r>
      <w:r w:rsidRPr="00BA1772">
        <w:rPr>
          <w:rFonts w:eastAsia="Calibri"/>
          <w:bCs/>
        </w:rPr>
        <w:t xml:space="preserve">. </w:t>
      </w:r>
    </w:p>
    <w:p w14:paraId="689D0945" w14:textId="77777777" w:rsidR="00F42018" w:rsidRDefault="00F42018" w:rsidP="00EF3080">
      <w:pPr>
        <w:pStyle w:val="ListParagraph"/>
        <w:tabs>
          <w:tab w:val="left" w:pos="7920"/>
        </w:tabs>
        <w:spacing w:before="240" w:after="60"/>
        <w:ind w:left="0"/>
        <w:rPr>
          <w:rFonts w:eastAsia="Calibri"/>
          <w:bCs/>
        </w:rPr>
      </w:pPr>
    </w:p>
    <w:p w14:paraId="3116EFA4" w14:textId="77777777" w:rsidR="00F42018" w:rsidRDefault="00F42018" w:rsidP="00EF3080">
      <w:pPr>
        <w:pStyle w:val="ListParagraph"/>
        <w:tabs>
          <w:tab w:val="left" w:pos="7920"/>
        </w:tabs>
        <w:spacing w:before="240" w:after="60"/>
        <w:ind w:left="0"/>
        <w:rPr>
          <w:rFonts w:eastAsia="Calibri"/>
          <w:bCs/>
        </w:rPr>
      </w:pPr>
    </w:p>
    <w:p w14:paraId="64EFFCE8" w14:textId="2B0BF07C" w:rsidR="00F42018" w:rsidRPr="008A5FDA" w:rsidRDefault="00F42018" w:rsidP="006647A3">
      <w:pPr>
        <w:pStyle w:val="Heading3"/>
      </w:pPr>
      <w:r w:rsidRPr="41ECBE4B">
        <w:lastRenderedPageBreak/>
        <w:t>Figure 1 – Profile of Food Hygiene Ratings in NI 2015 -2021</w:t>
      </w:r>
      <w:r w:rsidR="00247297" w:rsidRPr="41ECBE4B">
        <w:rPr>
          <w:rStyle w:val="FootnoteReference"/>
          <w:b/>
          <w:color w:val="000000" w:themeColor="text1"/>
          <w:sz w:val="24"/>
        </w:rPr>
        <w:footnoteReference w:id="7"/>
      </w:r>
    </w:p>
    <w:p w14:paraId="1B1C90C1" w14:textId="77777777" w:rsidR="00F42018" w:rsidRDefault="00F42018" w:rsidP="00EF3080">
      <w:pPr>
        <w:pStyle w:val="ListParagraph"/>
        <w:tabs>
          <w:tab w:val="left" w:pos="7920"/>
        </w:tabs>
        <w:spacing w:before="240" w:after="60"/>
        <w:ind w:left="0"/>
        <w:rPr>
          <w:rFonts w:eastAsia="Calibri"/>
          <w:bCs/>
        </w:rPr>
      </w:pPr>
    </w:p>
    <w:p w14:paraId="075C96AA" w14:textId="141F23B4" w:rsidR="00EF3080" w:rsidRPr="00F44906" w:rsidRDefault="00EF3080" w:rsidP="006B20DE">
      <w:pPr>
        <w:pStyle w:val="ListParagraph"/>
        <w:keepNext/>
        <w:tabs>
          <w:tab w:val="left" w:pos="7920"/>
        </w:tabs>
        <w:spacing w:before="240" w:after="60"/>
        <w:ind w:left="0"/>
        <w:rPr>
          <w:rFonts w:eastAsia="Calibri"/>
        </w:rPr>
      </w:pPr>
      <w:r>
        <w:rPr>
          <w:noProof/>
        </w:rPr>
        <w:drawing>
          <wp:inline distT="0" distB="0" distL="0" distR="0" wp14:anchorId="5FDD2F0C" wp14:editId="02880C10">
            <wp:extent cx="6413500" cy="3702050"/>
            <wp:effectExtent l="0" t="0" r="6350" b="12700"/>
            <wp:docPr id="1" name="Chart 1" descr="A chart showing the profile of food hygiene ratings in NI from 2015 to 2021. Rating of 5 increases from over 64.7% to 83.47% in this time period, 4, 3, 2, 1 and 0 ratings decrease during this time. Figures detailed in next table.  ">
              <a:extLst xmlns:a="http://schemas.openxmlformats.org/drawingml/2006/main">
                <a:ext uri="{FF2B5EF4-FFF2-40B4-BE49-F238E27FC236}">
                  <a16:creationId xmlns:a16="http://schemas.microsoft.com/office/drawing/2014/main" id="{98E6F6BD-4E70-41A5-99CF-F78CDB45AD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14501A" w:rsidRPr="00056B9E">
        <w:t xml:space="preserve"> </w:t>
      </w:r>
    </w:p>
    <w:p w14:paraId="060CADEF" w14:textId="77777777" w:rsidR="00EF3080" w:rsidRPr="00BA1772" w:rsidRDefault="00EF3080" w:rsidP="00EF3080">
      <w:pPr>
        <w:pStyle w:val="ListParagraph"/>
        <w:tabs>
          <w:tab w:val="left" w:pos="7920"/>
        </w:tabs>
        <w:spacing w:before="240" w:after="60"/>
        <w:ind w:left="1141"/>
        <w:rPr>
          <w:rFonts w:eastAsia="Calibri"/>
          <w:bCs/>
        </w:rPr>
      </w:pPr>
    </w:p>
    <w:tbl>
      <w:tblPr>
        <w:tblStyle w:val="TableGrid"/>
        <w:tblW w:w="10080" w:type="dxa"/>
        <w:tblLayout w:type="fixed"/>
        <w:tblLook w:val="06A0" w:firstRow="1" w:lastRow="0" w:firstColumn="1" w:lastColumn="0" w:noHBand="1" w:noVBand="1"/>
      </w:tblPr>
      <w:tblGrid>
        <w:gridCol w:w="1740"/>
        <w:gridCol w:w="990"/>
        <w:gridCol w:w="1050"/>
        <w:gridCol w:w="1260"/>
        <w:gridCol w:w="1260"/>
        <w:gridCol w:w="1260"/>
        <w:gridCol w:w="1260"/>
        <w:gridCol w:w="1260"/>
      </w:tblGrid>
      <w:tr w:rsidR="2CBE60CD" w14:paraId="104817C3" w14:textId="2B18A90F" w:rsidTr="3820F96C">
        <w:tc>
          <w:tcPr>
            <w:tcW w:w="1740" w:type="dxa"/>
          </w:tcPr>
          <w:p w14:paraId="1B7EED61" w14:textId="6C56C17F" w:rsidR="2CBE60CD" w:rsidRDefault="2CBE60CD" w:rsidP="2CBE60CD">
            <w:pPr>
              <w:rPr>
                <w:b/>
              </w:rPr>
            </w:pPr>
            <w:r w:rsidRPr="3820F96C">
              <w:rPr>
                <w:b/>
              </w:rPr>
              <w:t>Rating</w:t>
            </w:r>
          </w:p>
        </w:tc>
        <w:tc>
          <w:tcPr>
            <w:tcW w:w="990" w:type="dxa"/>
          </w:tcPr>
          <w:p w14:paraId="3299EA6B" w14:textId="61FD6965" w:rsidR="2CBE60CD" w:rsidRDefault="3820F96C" w:rsidP="2CBE60CD">
            <w:pPr>
              <w:rPr>
                <w:b/>
              </w:rPr>
            </w:pPr>
            <w:r w:rsidRPr="3820F96C">
              <w:rPr>
                <w:b/>
                <w:bCs/>
              </w:rPr>
              <w:t>2015</w:t>
            </w:r>
          </w:p>
        </w:tc>
        <w:tc>
          <w:tcPr>
            <w:tcW w:w="1050" w:type="dxa"/>
          </w:tcPr>
          <w:p w14:paraId="0D87FC76" w14:textId="703EA4CC" w:rsidR="2CBE60CD" w:rsidRDefault="3820F96C" w:rsidP="2CBE60CD">
            <w:pPr>
              <w:rPr>
                <w:b/>
              </w:rPr>
            </w:pPr>
            <w:r w:rsidRPr="3820F96C">
              <w:rPr>
                <w:b/>
                <w:bCs/>
              </w:rPr>
              <w:t>2016</w:t>
            </w:r>
          </w:p>
        </w:tc>
        <w:tc>
          <w:tcPr>
            <w:tcW w:w="1260" w:type="dxa"/>
          </w:tcPr>
          <w:p w14:paraId="7CBACB72" w14:textId="66B644E4" w:rsidR="2CBE60CD" w:rsidRDefault="3820F96C" w:rsidP="2CBE60CD">
            <w:pPr>
              <w:rPr>
                <w:b/>
              </w:rPr>
            </w:pPr>
            <w:r w:rsidRPr="3820F96C">
              <w:rPr>
                <w:b/>
                <w:bCs/>
              </w:rPr>
              <w:t>2017</w:t>
            </w:r>
          </w:p>
        </w:tc>
        <w:tc>
          <w:tcPr>
            <w:tcW w:w="1260" w:type="dxa"/>
          </w:tcPr>
          <w:p w14:paraId="4A36B476" w14:textId="56A1C95E" w:rsidR="2CBE60CD" w:rsidRDefault="3820F96C" w:rsidP="2CBE60CD">
            <w:pPr>
              <w:rPr>
                <w:b/>
              </w:rPr>
            </w:pPr>
            <w:r w:rsidRPr="3820F96C">
              <w:rPr>
                <w:b/>
                <w:bCs/>
              </w:rPr>
              <w:t>2018</w:t>
            </w:r>
          </w:p>
        </w:tc>
        <w:tc>
          <w:tcPr>
            <w:tcW w:w="1260" w:type="dxa"/>
          </w:tcPr>
          <w:p w14:paraId="5DAA4FD6" w14:textId="17BBB860" w:rsidR="2CBE60CD" w:rsidRDefault="3820F96C" w:rsidP="2CBE60CD">
            <w:pPr>
              <w:rPr>
                <w:b/>
              </w:rPr>
            </w:pPr>
            <w:r w:rsidRPr="3820F96C">
              <w:rPr>
                <w:b/>
                <w:bCs/>
              </w:rPr>
              <w:t>2019</w:t>
            </w:r>
          </w:p>
        </w:tc>
        <w:tc>
          <w:tcPr>
            <w:tcW w:w="1260" w:type="dxa"/>
          </w:tcPr>
          <w:p w14:paraId="447EB7A8" w14:textId="6C5FAE66" w:rsidR="2CBE60CD" w:rsidRDefault="3820F96C" w:rsidP="2CBE60CD">
            <w:pPr>
              <w:rPr>
                <w:b/>
              </w:rPr>
            </w:pPr>
            <w:r w:rsidRPr="3820F96C">
              <w:rPr>
                <w:b/>
                <w:bCs/>
              </w:rPr>
              <w:t>2020</w:t>
            </w:r>
          </w:p>
        </w:tc>
        <w:tc>
          <w:tcPr>
            <w:tcW w:w="1260" w:type="dxa"/>
          </w:tcPr>
          <w:p w14:paraId="07ABEACC" w14:textId="21AE4D46" w:rsidR="3820F96C" w:rsidRPr="3820F96C" w:rsidRDefault="3820F96C" w:rsidP="3820F96C">
            <w:pPr>
              <w:rPr>
                <w:b/>
                <w:bCs/>
                <w:szCs w:val="24"/>
              </w:rPr>
            </w:pPr>
            <w:r w:rsidRPr="3820F96C">
              <w:rPr>
                <w:b/>
                <w:bCs/>
                <w:szCs w:val="24"/>
              </w:rPr>
              <w:t>2021</w:t>
            </w:r>
          </w:p>
        </w:tc>
      </w:tr>
      <w:tr w:rsidR="2CBE60CD" w14:paraId="5196F04C" w14:textId="0E3728D6" w:rsidTr="3820F96C">
        <w:tc>
          <w:tcPr>
            <w:tcW w:w="1740" w:type="dxa"/>
          </w:tcPr>
          <w:p w14:paraId="573C6C9E" w14:textId="24F112A1" w:rsidR="2CBE60CD" w:rsidRDefault="2CBE60CD" w:rsidP="2CBE60CD">
            <w:pPr>
              <w:rPr>
                <w:szCs w:val="24"/>
              </w:rPr>
            </w:pPr>
            <w:r w:rsidRPr="2CBE60CD">
              <w:rPr>
                <w:szCs w:val="24"/>
              </w:rPr>
              <w:t>Very Good</w:t>
            </w:r>
          </w:p>
        </w:tc>
        <w:tc>
          <w:tcPr>
            <w:tcW w:w="990" w:type="dxa"/>
          </w:tcPr>
          <w:p w14:paraId="2F62C378" w14:textId="4617EC53" w:rsidR="2CBE60CD" w:rsidRDefault="3820F96C" w:rsidP="2CBE60CD">
            <w:r>
              <w:t>64.7%</w:t>
            </w:r>
          </w:p>
        </w:tc>
        <w:tc>
          <w:tcPr>
            <w:tcW w:w="1050" w:type="dxa"/>
          </w:tcPr>
          <w:p w14:paraId="7FB5320F" w14:textId="51596EA4" w:rsidR="2CBE60CD" w:rsidRDefault="3820F96C" w:rsidP="2CBE60CD">
            <w:r>
              <w:t>72.4%</w:t>
            </w:r>
          </w:p>
        </w:tc>
        <w:tc>
          <w:tcPr>
            <w:tcW w:w="1260" w:type="dxa"/>
          </w:tcPr>
          <w:p w14:paraId="1F262FA0" w14:textId="2F975BF7" w:rsidR="2CBE60CD" w:rsidRDefault="3820F96C" w:rsidP="2CBE60CD">
            <w:r>
              <w:t>75.9%</w:t>
            </w:r>
          </w:p>
        </w:tc>
        <w:tc>
          <w:tcPr>
            <w:tcW w:w="1260" w:type="dxa"/>
          </w:tcPr>
          <w:p w14:paraId="127088E6" w14:textId="47FC0F28" w:rsidR="2CBE60CD" w:rsidRDefault="3820F96C" w:rsidP="2CBE60CD">
            <w:r>
              <w:t>77.4%</w:t>
            </w:r>
          </w:p>
        </w:tc>
        <w:tc>
          <w:tcPr>
            <w:tcW w:w="1260" w:type="dxa"/>
          </w:tcPr>
          <w:p w14:paraId="071FF615" w14:textId="7C3D41D8" w:rsidR="2CBE60CD" w:rsidRDefault="3820F96C" w:rsidP="2CBE60CD">
            <w:r>
              <w:t>79.01%</w:t>
            </w:r>
          </w:p>
        </w:tc>
        <w:tc>
          <w:tcPr>
            <w:tcW w:w="1260" w:type="dxa"/>
          </w:tcPr>
          <w:p w14:paraId="4FDE09B5" w14:textId="564C162D" w:rsidR="2CBE60CD" w:rsidRDefault="3820F96C" w:rsidP="2CBE60CD">
            <w:r>
              <w:t>80.93%</w:t>
            </w:r>
          </w:p>
        </w:tc>
        <w:tc>
          <w:tcPr>
            <w:tcW w:w="1260" w:type="dxa"/>
          </w:tcPr>
          <w:p w14:paraId="5BEA6E03" w14:textId="46E25301" w:rsidR="3820F96C" w:rsidRPr="3820F96C" w:rsidRDefault="3820F96C" w:rsidP="3820F96C">
            <w:pPr>
              <w:rPr>
                <w:szCs w:val="24"/>
              </w:rPr>
            </w:pPr>
            <w:r w:rsidRPr="3820F96C">
              <w:rPr>
                <w:szCs w:val="24"/>
              </w:rPr>
              <w:t>83.47%</w:t>
            </w:r>
          </w:p>
        </w:tc>
      </w:tr>
      <w:tr w:rsidR="2CBE60CD" w14:paraId="4B23D616" w14:textId="6D0B6F21" w:rsidTr="3820F96C">
        <w:tc>
          <w:tcPr>
            <w:tcW w:w="1740" w:type="dxa"/>
          </w:tcPr>
          <w:p w14:paraId="7E3D046D" w14:textId="7B8456EE" w:rsidR="2CBE60CD" w:rsidRDefault="2CBE60CD" w:rsidP="2CBE60CD">
            <w:pPr>
              <w:rPr>
                <w:szCs w:val="24"/>
              </w:rPr>
            </w:pPr>
            <w:r w:rsidRPr="2CBE60CD">
              <w:rPr>
                <w:szCs w:val="24"/>
              </w:rPr>
              <w:t>Good</w:t>
            </w:r>
          </w:p>
        </w:tc>
        <w:tc>
          <w:tcPr>
            <w:tcW w:w="990" w:type="dxa"/>
          </w:tcPr>
          <w:p w14:paraId="190CBA52" w14:textId="751561D6" w:rsidR="2CBE60CD" w:rsidRDefault="3820F96C" w:rsidP="2CBE60CD">
            <w:r>
              <w:t>23.6%</w:t>
            </w:r>
          </w:p>
        </w:tc>
        <w:tc>
          <w:tcPr>
            <w:tcW w:w="1050" w:type="dxa"/>
          </w:tcPr>
          <w:p w14:paraId="2B370298" w14:textId="33559EE5" w:rsidR="2CBE60CD" w:rsidRDefault="3820F96C" w:rsidP="2CBE60CD">
            <w:r>
              <w:t>20%</w:t>
            </w:r>
          </w:p>
        </w:tc>
        <w:tc>
          <w:tcPr>
            <w:tcW w:w="1260" w:type="dxa"/>
          </w:tcPr>
          <w:p w14:paraId="03C6D664" w14:textId="754B94BF" w:rsidR="2CBE60CD" w:rsidRDefault="3820F96C" w:rsidP="2CBE60CD">
            <w:r>
              <w:t>17.6%</w:t>
            </w:r>
          </w:p>
        </w:tc>
        <w:tc>
          <w:tcPr>
            <w:tcW w:w="1260" w:type="dxa"/>
          </w:tcPr>
          <w:p w14:paraId="30300232" w14:textId="3D3063EE" w:rsidR="2CBE60CD" w:rsidRDefault="3820F96C" w:rsidP="2CBE60CD">
            <w:r>
              <w:t>16.7%</w:t>
            </w:r>
          </w:p>
        </w:tc>
        <w:tc>
          <w:tcPr>
            <w:tcW w:w="1260" w:type="dxa"/>
          </w:tcPr>
          <w:p w14:paraId="67B831A8" w14:textId="05DBBB86" w:rsidR="2CBE60CD" w:rsidRDefault="3820F96C" w:rsidP="2CBE60CD">
            <w:r>
              <w:t>15.63%</w:t>
            </w:r>
          </w:p>
        </w:tc>
        <w:tc>
          <w:tcPr>
            <w:tcW w:w="1260" w:type="dxa"/>
          </w:tcPr>
          <w:p w14:paraId="2F0071F1" w14:textId="7F35C51D" w:rsidR="2CBE60CD" w:rsidRDefault="3820F96C" w:rsidP="2CBE60CD">
            <w:r>
              <w:t>14.53%</w:t>
            </w:r>
          </w:p>
        </w:tc>
        <w:tc>
          <w:tcPr>
            <w:tcW w:w="1260" w:type="dxa"/>
          </w:tcPr>
          <w:p w14:paraId="480777A5" w14:textId="5D5478A2" w:rsidR="3820F96C" w:rsidRPr="3820F96C" w:rsidRDefault="3820F96C" w:rsidP="3820F96C">
            <w:pPr>
              <w:rPr>
                <w:szCs w:val="24"/>
              </w:rPr>
            </w:pPr>
            <w:r w:rsidRPr="3820F96C">
              <w:rPr>
                <w:szCs w:val="24"/>
              </w:rPr>
              <w:t>12.93%</w:t>
            </w:r>
          </w:p>
        </w:tc>
      </w:tr>
      <w:tr w:rsidR="2CBE60CD" w14:paraId="2EC4A469" w14:textId="01734C48" w:rsidTr="3820F96C">
        <w:tc>
          <w:tcPr>
            <w:tcW w:w="1740" w:type="dxa"/>
          </w:tcPr>
          <w:p w14:paraId="43419C18" w14:textId="06B98B03" w:rsidR="2CBE60CD" w:rsidRDefault="2CBE60CD" w:rsidP="2CBE60CD">
            <w:pPr>
              <w:rPr>
                <w:szCs w:val="24"/>
              </w:rPr>
            </w:pPr>
            <w:r w:rsidRPr="2CBE60CD">
              <w:rPr>
                <w:szCs w:val="24"/>
              </w:rPr>
              <w:t>Generally satisfactory</w:t>
            </w:r>
          </w:p>
        </w:tc>
        <w:tc>
          <w:tcPr>
            <w:tcW w:w="990" w:type="dxa"/>
          </w:tcPr>
          <w:p w14:paraId="4BB46C50" w14:textId="169DB7CA" w:rsidR="2CBE60CD" w:rsidRDefault="3820F96C" w:rsidP="2CBE60CD">
            <w:r>
              <w:t>8.8%</w:t>
            </w:r>
          </w:p>
        </w:tc>
        <w:tc>
          <w:tcPr>
            <w:tcW w:w="1050" w:type="dxa"/>
          </w:tcPr>
          <w:p w14:paraId="15A39A3B" w14:textId="49E69259" w:rsidR="2CBE60CD" w:rsidRDefault="3820F96C" w:rsidP="2CBE60CD">
            <w:r>
              <w:t>6.3%</w:t>
            </w:r>
          </w:p>
        </w:tc>
        <w:tc>
          <w:tcPr>
            <w:tcW w:w="1260" w:type="dxa"/>
          </w:tcPr>
          <w:p w14:paraId="71EAAD60" w14:textId="7054655A" w:rsidR="2CBE60CD" w:rsidRDefault="3820F96C" w:rsidP="2CBE60CD">
            <w:r>
              <w:t>5.4%</w:t>
            </w:r>
          </w:p>
        </w:tc>
        <w:tc>
          <w:tcPr>
            <w:tcW w:w="1260" w:type="dxa"/>
          </w:tcPr>
          <w:p w14:paraId="3DEABDB3" w14:textId="33AD7E01" w:rsidR="2CBE60CD" w:rsidRDefault="3820F96C" w:rsidP="2CBE60CD">
            <w:r>
              <w:t>4.9%</w:t>
            </w:r>
          </w:p>
        </w:tc>
        <w:tc>
          <w:tcPr>
            <w:tcW w:w="1260" w:type="dxa"/>
          </w:tcPr>
          <w:p w14:paraId="783AB568" w14:textId="44EFF8DD" w:rsidR="2CBE60CD" w:rsidRDefault="3820F96C" w:rsidP="2CBE60CD">
            <w:r>
              <w:t>4.37%</w:t>
            </w:r>
          </w:p>
        </w:tc>
        <w:tc>
          <w:tcPr>
            <w:tcW w:w="1260" w:type="dxa"/>
          </w:tcPr>
          <w:p w14:paraId="125A2CAF" w14:textId="18431613" w:rsidR="2CBE60CD" w:rsidRDefault="3820F96C" w:rsidP="2CBE60CD">
            <w:r>
              <w:t>3.66%</w:t>
            </w:r>
          </w:p>
        </w:tc>
        <w:tc>
          <w:tcPr>
            <w:tcW w:w="1260" w:type="dxa"/>
          </w:tcPr>
          <w:p w14:paraId="340B39D7" w14:textId="1C9E720E" w:rsidR="3820F96C" w:rsidRPr="3820F96C" w:rsidRDefault="3820F96C" w:rsidP="3820F96C">
            <w:pPr>
              <w:rPr>
                <w:szCs w:val="24"/>
              </w:rPr>
            </w:pPr>
            <w:r w:rsidRPr="3820F96C">
              <w:rPr>
                <w:szCs w:val="24"/>
              </w:rPr>
              <w:t>2.93%</w:t>
            </w:r>
          </w:p>
        </w:tc>
      </w:tr>
      <w:tr w:rsidR="2CBE60CD" w14:paraId="4CB1CB53" w14:textId="3AB84D87" w:rsidTr="3820F96C">
        <w:tc>
          <w:tcPr>
            <w:tcW w:w="1740" w:type="dxa"/>
          </w:tcPr>
          <w:p w14:paraId="29B45088" w14:textId="27A522E7" w:rsidR="2CBE60CD" w:rsidRDefault="7DC39175" w:rsidP="2CBE60CD">
            <w:pPr>
              <w:rPr>
                <w:szCs w:val="24"/>
              </w:rPr>
            </w:pPr>
            <w:r w:rsidRPr="3820F96C">
              <w:rPr>
                <w:szCs w:val="24"/>
              </w:rPr>
              <w:t xml:space="preserve">Improvement </w:t>
            </w:r>
            <w:r w:rsidR="3820F96C" w:rsidRPr="3820F96C">
              <w:rPr>
                <w:szCs w:val="24"/>
              </w:rPr>
              <w:t>necessary</w:t>
            </w:r>
          </w:p>
        </w:tc>
        <w:tc>
          <w:tcPr>
            <w:tcW w:w="990" w:type="dxa"/>
          </w:tcPr>
          <w:p w14:paraId="1E7F644B" w14:textId="3F45C3C1" w:rsidR="2CBE60CD" w:rsidRDefault="3820F96C" w:rsidP="2CBE60CD">
            <w:r>
              <w:t>1.8%</w:t>
            </w:r>
          </w:p>
        </w:tc>
        <w:tc>
          <w:tcPr>
            <w:tcW w:w="1050" w:type="dxa"/>
          </w:tcPr>
          <w:p w14:paraId="412A71EE" w14:textId="51C929F6" w:rsidR="2CBE60CD" w:rsidRDefault="3820F96C" w:rsidP="2CBE60CD">
            <w:r>
              <w:t>0.8%</w:t>
            </w:r>
          </w:p>
        </w:tc>
        <w:tc>
          <w:tcPr>
            <w:tcW w:w="1260" w:type="dxa"/>
          </w:tcPr>
          <w:p w14:paraId="43FFFAAD" w14:textId="51C929F6" w:rsidR="2CBE60CD" w:rsidRDefault="3820F96C" w:rsidP="2CBE60CD">
            <w:r>
              <w:t>0.8%</w:t>
            </w:r>
          </w:p>
          <w:p w14:paraId="67B78871" w14:textId="1CEB76BB" w:rsidR="2CBE60CD" w:rsidRDefault="2CBE60CD" w:rsidP="2CBE60CD">
            <w:pPr>
              <w:rPr>
                <w:szCs w:val="24"/>
              </w:rPr>
            </w:pPr>
          </w:p>
        </w:tc>
        <w:tc>
          <w:tcPr>
            <w:tcW w:w="1260" w:type="dxa"/>
          </w:tcPr>
          <w:p w14:paraId="0443AE57" w14:textId="51C929F6" w:rsidR="2CBE60CD" w:rsidRDefault="3820F96C" w:rsidP="2CBE60CD">
            <w:r>
              <w:t>0.8%</w:t>
            </w:r>
          </w:p>
          <w:p w14:paraId="70BC65AC" w14:textId="209D92F5" w:rsidR="2CBE60CD" w:rsidRDefault="2CBE60CD" w:rsidP="2CBE60CD">
            <w:pPr>
              <w:rPr>
                <w:szCs w:val="24"/>
              </w:rPr>
            </w:pPr>
          </w:p>
        </w:tc>
        <w:tc>
          <w:tcPr>
            <w:tcW w:w="1260" w:type="dxa"/>
          </w:tcPr>
          <w:p w14:paraId="61FDC6EE" w14:textId="501A2922" w:rsidR="2CBE60CD" w:rsidRDefault="3820F96C" w:rsidP="2CBE60CD">
            <w:r>
              <w:t>0.64%</w:t>
            </w:r>
          </w:p>
        </w:tc>
        <w:tc>
          <w:tcPr>
            <w:tcW w:w="1260" w:type="dxa"/>
          </w:tcPr>
          <w:p w14:paraId="44D2E2AB" w14:textId="6E252ECB" w:rsidR="2CBE60CD" w:rsidRDefault="3820F96C" w:rsidP="2CBE60CD">
            <w:r>
              <w:t>0.54%</w:t>
            </w:r>
          </w:p>
        </w:tc>
        <w:tc>
          <w:tcPr>
            <w:tcW w:w="1260" w:type="dxa"/>
          </w:tcPr>
          <w:p w14:paraId="6CFA9A7B" w14:textId="57E81530" w:rsidR="3820F96C" w:rsidRPr="3820F96C" w:rsidRDefault="3820F96C" w:rsidP="3820F96C">
            <w:pPr>
              <w:rPr>
                <w:szCs w:val="24"/>
              </w:rPr>
            </w:pPr>
            <w:r w:rsidRPr="3820F96C">
              <w:rPr>
                <w:szCs w:val="24"/>
              </w:rPr>
              <w:t>0.35%</w:t>
            </w:r>
          </w:p>
        </w:tc>
      </w:tr>
      <w:tr w:rsidR="2CBE60CD" w14:paraId="7062A724" w14:textId="507062CD" w:rsidTr="3820F96C">
        <w:tc>
          <w:tcPr>
            <w:tcW w:w="1740" w:type="dxa"/>
          </w:tcPr>
          <w:p w14:paraId="1EC41378" w14:textId="00C4C796" w:rsidR="2CBE60CD" w:rsidRDefault="3820F96C" w:rsidP="2CBE60CD">
            <w:r w:rsidRPr="3820F96C">
              <w:rPr>
                <w:szCs w:val="24"/>
              </w:rPr>
              <w:t>Major improvement necessary</w:t>
            </w:r>
          </w:p>
        </w:tc>
        <w:tc>
          <w:tcPr>
            <w:tcW w:w="990" w:type="dxa"/>
          </w:tcPr>
          <w:p w14:paraId="7242C650" w14:textId="71034594" w:rsidR="2CBE60CD" w:rsidRDefault="3820F96C" w:rsidP="2CBE60CD">
            <w:r>
              <w:t>1.1%</w:t>
            </w:r>
          </w:p>
        </w:tc>
        <w:tc>
          <w:tcPr>
            <w:tcW w:w="1050" w:type="dxa"/>
          </w:tcPr>
          <w:p w14:paraId="3DB7DAA2" w14:textId="48735DBC" w:rsidR="2CBE60CD" w:rsidRDefault="3820F96C" w:rsidP="2CBE60CD">
            <w:r>
              <w:t>0.4%</w:t>
            </w:r>
          </w:p>
        </w:tc>
        <w:tc>
          <w:tcPr>
            <w:tcW w:w="1260" w:type="dxa"/>
          </w:tcPr>
          <w:p w14:paraId="2C3522C8" w14:textId="2948D4B8" w:rsidR="2CBE60CD" w:rsidRDefault="3820F96C" w:rsidP="2CBE60CD">
            <w:r>
              <w:t>0.4%</w:t>
            </w:r>
          </w:p>
        </w:tc>
        <w:tc>
          <w:tcPr>
            <w:tcW w:w="1260" w:type="dxa"/>
          </w:tcPr>
          <w:p w14:paraId="15F93F09" w14:textId="48B6BA71" w:rsidR="2CBE60CD" w:rsidRDefault="3820F96C" w:rsidP="2CBE60CD">
            <w:r>
              <w:t>0.4%</w:t>
            </w:r>
          </w:p>
        </w:tc>
        <w:tc>
          <w:tcPr>
            <w:tcW w:w="1260" w:type="dxa"/>
          </w:tcPr>
          <w:p w14:paraId="78829E29" w14:textId="7F935BA4" w:rsidR="2CBE60CD" w:rsidRDefault="3820F96C" w:rsidP="2CBE60CD">
            <w:r>
              <w:t>0.34%</w:t>
            </w:r>
          </w:p>
        </w:tc>
        <w:tc>
          <w:tcPr>
            <w:tcW w:w="1260" w:type="dxa"/>
          </w:tcPr>
          <w:p w14:paraId="1F811EC3" w14:textId="5D586EC2" w:rsidR="2CBE60CD" w:rsidRDefault="3820F96C" w:rsidP="2CBE60CD">
            <w:r>
              <w:t>0.34%</w:t>
            </w:r>
          </w:p>
        </w:tc>
        <w:tc>
          <w:tcPr>
            <w:tcW w:w="1260" w:type="dxa"/>
          </w:tcPr>
          <w:p w14:paraId="0AF11EAC" w14:textId="35B07011" w:rsidR="3820F96C" w:rsidRPr="3820F96C" w:rsidRDefault="3820F96C" w:rsidP="3820F96C">
            <w:pPr>
              <w:rPr>
                <w:szCs w:val="24"/>
              </w:rPr>
            </w:pPr>
            <w:r w:rsidRPr="3820F96C">
              <w:rPr>
                <w:szCs w:val="24"/>
              </w:rPr>
              <w:t>0.32%</w:t>
            </w:r>
          </w:p>
        </w:tc>
      </w:tr>
      <w:tr w:rsidR="2CBE60CD" w14:paraId="5B4A74CF" w14:textId="7325D09B" w:rsidTr="3820F96C">
        <w:tc>
          <w:tcPr>
            <w:tcW w:w="1740" w:type="dxa"/>
          </w:tcPr>
          <w:p w14:paraId="36129AA2" w14:textId="047AFAB5" w:rsidR="2CBE60CD" w:rsidRDefault="3820F96C" w:rsidP="2CBE60CD">
            <w:r>
              <w:t>Urgent improvement necessary</w:t>
            </w:r>
          </w:p>
        </w:tc>
        <w:tc>
          <w:tcPr>
            <w:tcW w:w="990" w:type="dxa"/>
          </w:tcPr>
          <w:p w14:paraId="7A8D7AA6" w14:textId="195AB207" w:rsidR="2CBE60CD" w:rsidRDefault="3820F96C" w:rsidP="2CBE60CD">
            <w:r>
              <w:t>0%</w:t>
            </w:r>
          </w:p>
        </w:tc>
        <w:tc>
          <w:tcPr>
            <w:tcW w:w="1050" w:type="dxa"/>
          </w:tcPr>
          <w:p w14:paraId="016CFF9C" w14:textId="06304A88" w:rsidR="2CBE60CD" w:rsidRDefault="3820F96C" w:rsidP="2CBE60CD">
            <w:r>
              <w:t>0%</w:t>
            </w:r>
          </w:p>
        </w:tc>
        <w:tc>
          <w:tcPr>
            <w:tcW w:w="1260" w:type="dxa"/>
          </w:tcPr>
          <w:p w14:paraId="299A27A5" w14:textId="0A8A7CD9" w:rsidR="2CBE60CD" w:rsidRDefault="3820F96C" w:rsidP="2CBE60CD">
            <w:r>
              <w:t>0%</w:t>
            </w:r>
          </w:p>
        </w:tc>
        <w:tc>
          <w:tcPr>
            <w:tcW w:w="1260" w:type="dxa"/>
          </w:tcPr>
          <w:p w14:paraId="64041D9A" w14:textId="76D935C4" w:rsidR="2CBE60CD" w:rsidRDefault="3820F96C" w:rsidP="2CBE60CD">
            <w:r>
              <w:t>0%</w:t>
            </w:r>
          </w:p>
        </w:tc>
        <w:tc>
          <w:tcPr>
            <w:tcW w:w="1260" w:type="dxa"/>
          </w:tcPr>
          <w:p w14:paraId="5D1C8B21" w14:textId="096EB69C" w:rsidR="2CBE60CD" w:rsidRDefault="3820F96C" w:rsidP="2CBE60CD">
            <w:r>
              <w:t>0.01%</w:t>
            </w:r>
          </w:p>
        </w:tc>
        <w:tc>
          <w:tcPr>
            <w:tcW w:w="1260" w:type="dxa"/>
          </w:tcPr>
          <w:p w14:paraId="685835A2" w14:textId="32B3845B" w:rsidR="2CBE60CD" w:rsidRDefault="3820F96C" w:rsidP="2CBE60CD">
            <w:r>
              <w:t>0%</w:t>
            </w:r>
          </w:p>
        </w:tc>
        <w:tc>
          <w:tcPr>
            <w:tcW w:w="1260" w:type="dxa"/>
          </w:tcPr>
          <w:p w14:paraId="309D7CD9" w14:textId="1DF122B4" w:rsidR="3820F96C" w:rsidRPr="3820F96C" w:rsidRDefault="3820F96C" w:rsidP="3820F96C">
            <w:pPr>
              <w:rPr>
                <w:szCs w:val="24"/>
              </w:rPr>
            </w:pPr>
            <w:r w:rsidRPr="3820F96C">
              <w:rPr>
                <w:szCs w:val="24"/>
              </w:rPr>
              <w:t>0.01%</w:t>
            </w:r>
          </w:p>
        </w:tc>
      </w:tr>
    </w:tbl>
    <w:p w14:paraId="75BD4DD7" w14:textId="00AA0DBD" w:rsidR="00602139" w:rsidRPr="007C0703" w:rsidRDefault="00EF3080" w:rsidP="008F3B3A">
      <w:pPr>
        <w:pStyle w:val="ListParagraph"/>
        <w:numPr>
          <w:ilvl w:val="0"/>
          <w:numId w:val="7"/>
        </w:numPr>
        <w:tabs>
          <w:tab w:val="left" w:pos="7920"/>
        </w:tabs>
        <w:spacing w:before="240" w:after="60"/>
      </w:pPr>
      <w:r w:rsidRPr="0007414F">
        <w:rPr>
          <w:rFonts w:eastAsia="Arial"/>
          <w:lang w:val="en-US"/>
        </w:rPr>
        <w:t>FSA analysis has shown statistically significant links between increased compliance and other positive measures of food safety, namely the proportion of unsatisfactory microbiological sample results and foodborne disease outbreaks, ultimately lowering the risk to consumers from foodborne illness (UK).</w:t>
      </w:r>
      <w:r w:rsidRPr="00BA1772">
        <w:rPr>
          <w:rFonts w:eastAsia="Arial"/>
          <w:vertAlign w:val="superscript"/>
          <w:lang w:val="en-US"/>
        </w:rPr>
        <w:footnoteReference w:id="8"/>
      </w:r>
      <w:r w:rsidRPr="0007414F">
        <w:rPr>
          <w:rFonts w:eastAsia="Arial"/>
          <w:lang w:val="en-US"/>
        </w:rPr>
        <w:t xml:space="preserve">  Strengthening the scheme with a requirement to display ratings online as well as at a food business’s establishment would create incentives for businesses to increase their compliance levels, which would protect public health and contribute to a reduction in the economic burden of foodborne illness. </w:t>
      </w:r>
      <w:bookmarkStart w:id="5" w:name="_Hlk16358623"/>
      <w:r w:rsidRPr="0007414F">
        <w:rPr>
          <w:rFonts w:eastAsia="Arial"/>
          <w:lang w:val="en-US"/>
        </w:rPr>
        <w:t>For every 1% increase in compliance rates</w:t>
      </w:r>
      <w:r w:rsidR="003516F0">
        <w:rPr>
          <w:rFonts w:eastAsia="Arial"/>
          <w:lang w:val="en-US"/>
        </w:rPr>
        <w:t>,</w:t>
      </w:r>
      <w:r w:rsidRPr="0007414F">
        <w:rPr>
          <w:rFonts w:eastAsia="Arial"/>
          <w:lang w:val="en-US"/>
        </w:rPr>
        <w:t xml:space="preserve"> it is estimated that </w:t>
      </w:r>
      <w:r w:rsidR="00F90419">
        <w:rPr>
          <w:rFonts w:eastAsia="Arial"/>
          <w:lang w:val="en-US"/>
        </w:rPr>
        <w:t>5,0</w:t>
      </w:r>
      <w:r w:rsidRPr="0007414F">
        <w:rPr>
          <w:rFonts w:eastAsia="Arial"/>
          <w:lang w:val="en-US"/>
        </w:rPr>
        <w:t>00 cases of foodborne disease may be prevented</w:t>
      </w:r>
      <w:bookmarkEnd w:id="5"/>
      <w:r w:rsidRPr="0007414F">
        <w:rPr>
          <w:rFonts w:eastAsia="Arial"/>
          <w:lang w:val="en-US"/>
        </w:rPr>
        <w:t>. Using cost-of-illness estimates, this is equivalent to a saving of £</w:t>
      </w:r>
      <w:r w:rsidR="00F90419">
        <w:rPr>
          <w:rFonts w:eastAsia="Arial"/>
          <w:lang w:val="en-US"/>
        </w:rPr>
        <w:t>21</w:t>
      </w:r>
      <w:r w:rsidRPr="0007414F">
        <w:rPr>
          <w:rFonts w:eastAsia="Arial"/>
          <w:lang w:val="en-US"/>
        </w:rPr>
        <w:t xml:space="preserve"> million in terms of financial costs and the value of pain and suffering to the UK society.</w:t>
      </w:r>
      <w:r w:rsidR="008F3B3A">
        <w:rPr>
          <w:rFonts w:eastAsia="Arial"/>
          <w:lang w:val="en-US"/>
        </w:rPr>
        <w:br/>
      </w:r>
    </w:p>
    <w:p w14:paraId="5375F5B4" w14:textId="3C0634D4" w:rsidR="00A45810" w:rsidRPr="00731890" w:rsidRDefault="00A45810" w:rsidP="007C0703">
      <w:pPr>
        <w:pStyle w:val="ListParagraph"/>
        <w:numPr>
          <w:ilvl w:val="0"/>
          <w:numId w:val="7"/>
        </w:numPr>
        <w:tabs>
          <w:tab w:val="left" w:pos="7920"/>
        </w:tabs>
        <w:spacing w:before="240" w:after="60"/>
        <w:rPr>
          <w:rFonts w:eastAsia="Calibri"/>
        </w:rPr>
      </w:pPr>
      <w:r w:rsidRPr="00B858CD">
        <w:rPr>
          <w:rFonts w:eastAsia="Arial"/>
          <w:lang w:val="en-US"/>
        </w:rPr>
        <w:lastRenderedPageBreak/>
        <w:t>In 2016 FSA NI commissioned independent research to understand consumer needs around FHRS information when ordering food online</w:t>
      </w:r>
      <w:r w:rsidRPr="00F45034">
        <w:rPr>
          <w:rFonts w:eastAsia="Arial"/>
          <w:sz w:val="22"/>
          <w:szCs w:val="22"/>
          <w:vertAlign w:val="superscript"/>
          <w:lang w:val="en-US"/>
        </w:rPr>
        <w:footnoteReference w:id="9"/>
      </w:r>
      <w:r w:rsidRPr="00F45034">
        <w:rPr>
          <w:rFonts w:eastAsia="Arial"/>
          <w:lang w:val="en-US"/>
        </w:rPr>
        <w:t>.</w:t>
      </w:r>
      <w:r w:rsidRPr="00F45034" w:rsidDel="00F45034">
        <w:rPr>
          <w:rFonts w:eastAsia="Arial"/>
          <w:lang w:val="en-US"/>
        </w:rPr>
        <w:t xml:space="preserve"> </w:t>
      </w:r>
      <w:r w:rsidRPr="006B20DE">
        <w:t>Participants considered that FHRS information was needed early in their online ordering journey to allow them to make informed decisions.</w:t>
      </w:r>
      <w:r w:rsidRPr="00BA1772">
        <w:t xml:space="preserve">  Clarity and visibility of the display of rating were also key factors for providing customer assurance, as well as presenting FHRS information in an accessible and easy-to-use format. Due to the immediacy of online food ordering, participants overwhelmingly preferred the food hygiene rating itself to be displayed (rather than clicking on to another webpage) as this would empower consumers to make quick decisions on online platforms where convenience and speed were fundamental.</w:t>
      </w:r>
    </w:p>
    <w:p w14:paraId="5D829D54" w14:textId="42732EAC" w:rsidR="00E913DE" w:rsidRDefault="00E913DE" w:rsidP="006647A3">
      <w:pPr>
        <w:pStyle w:val="Heading2"/>
      </w:pPr>
      <w:r w:rsidRPr="008478B9">
        <w:t>P</w:t>
      </w:r>
      <w:r w:rsidR="006647A3">
        <w:t xml:space="preserve">roblem under consideration and rational for intervention </w:t>
      </w:r>
    </w:p>
    <w:p w14:paraId="723B7D58" w14:textId="62447887" w:rsidR="00656AF8" w:rsidRPr="00656AF8" w:rsidRDefault="005E2CB6" w:rsidP="004F7BD9">
      <w:pPr>
        <w:pStyle w:val="ListParagraph"/>
        <w:numPr>
          <w:ilvl w:val="0"/>
          <w:numId w:val="7"/>
        </w:numPr>
        <w:spacing w:before="240" w:after="60"/>
        <w:rPr>
          <w:color w:val="000000"/>
        </w:rPr>
      </w:pPr>
      <w:r w:rsidRPr="00FB1C6D">
        <w:rPr>
          <w:rFonts w:asciiTheme="minorBidi" w:eastAsia="Arial" w:hAnsiTheme="minorBidi" w:cstheme="minorBidi"/>
          <w:lang w:val="en-US"/>
        </w:rPr>
        <w:t xml:space="preserve">The FHRS is a key part of the FSA’s work to reduce </w:t>
      </w:r>
      <w:r w:rsidR="001D12C8">
        <w:rPr>
          <w:rFonts w:asciiTheme="minorBidi" w:eastAsia="Arial" w:hAnsiTheme="minorBidi" w:cstheme="minorBidi"/>
          <w:lang w:val="en-US"/>
        </w:rPr>
        <w:t>information</w:t>
      </w:r>
      <w:r w:rsidRPr="00FB1C6D">
        <w:rPr>
          <w:rFonts w:asciiTheme="minorBidi" w:eastAsia="Arial" w:hAnsiTheme="minorBidi" w:cstheme="minorBidi"/>
          <w:lang w:val="en-US"/>
        </w:rPr>
        <w:t xml:space="preserve"> asymmetry by ensuring that consumers are informed and empowered</w:t>
      </w:r>
      <w:r w:rsidR="007E0A51">
        <w:rPr>
          <w:rFonts w:eastAsia="Arial" w:cs="Arial"/>
          <w:lang w:val="en-US"/>
        </w:rPr>
        <w:t xml:space="preserve">. </w:t>
      </w:r>
      <w:r w:rsidR="00B213CE">
        <w:rPr>
          <w:rFonts w:eastAsia="Arial" w:cs="Arial"/>
          <w:lang w:val="en-US"/>
        </w:rPr>
        <w:t>The statu</w:t>
      </w:r>
      <w:r w:rsidR="00B213CE">
        <w:rPr>
          <w:rFonts w:asciiTheme="minorBidi" w:eastAsia="Arial" w:hAnsiTheme="minorBidi" w:cstheme="minorBidi"/>
          <w:lang w:val="en-US"/>
        </w:rPr>
        <w:t>tory</w:t>
      </w:r>
      <w:r w:rsidR="00B213CE" w:rsidRPr="00FB1C6D">
        <w:rPr>
          <w:rFonts w:asciiTheme="minorBidi" w:eastAsia="Arial" w:hAnsiTheme="minorBidi" w:cstheme="minorBidi"/>
          <w:lang w:val="en-US"/>
        </w:rPr>
        <w:t xml:space="preserve"> </w:t>
      </w:r>
      <w:r w:rsidR="00B213CE">
        <w:rPr>
          <w:rFonts w:asciiTheme="minorBidi" w:eastAsia="Arial" w:hAnsiTheme="minorBidi" w:cstheme="minorBidi"/>
          <w:lang w:val="en-US"/>
        </w:rPr>
        <w:t>S</w:t>
      </w:r>
      <w:r w:rsidR="00B213CE" w:rsidRPr="00FB1C6D">
        <w:rPr>
          <w:rFonts w:asciiTheme="minorBidi" w:eastAsia="Arial" w:hAnsiTheme="minorBidi" w:cstheme="minorBidi"/>
          <w:lang w:val="en-US"/>
        </w:rPr>
        <w:t>cheme</w:t>
      </w:r>
      <w:r w:rsidR="00B213CE">
        <w:rPr>
          <w:rFonts w:asciiTheme="minorBidi" w:eastAsia="Arial" w:hAnsiTheme="minorBidi" w:cstheme="minorBidi"/>
          <w:lang w:val="en-US"/>
        </w:rPr>
        <w:t xml:space="preserve"> in NI</w:t>
      </w:r>
      <w:r w:rsidR="00F6044D" w:rsidRPr="00FB1C6D">
        <w:rPr>
          <w:rFonts w:asciiTheme="minorBidi" w:eastAsia="Arial" w:hAnsiTheme="minorBidi" w:cstheme="minorBidi"/>
          <w:lang w:val="en-US"/>
        </w:rPr>
        <w:t xml:space="preserve"> provides transparency to consumers about hygiene standards at the time of inspections </w:t>
      </w:r>
      <w:r w:rsidR="00E93A5C">
        <w:rPr>
          <w:rFonts w:asciiTheme="minorBidi" w:eastAsia="Arial" w:hAnsiTheme="minorBidi" w:cstheme="minorBidi"/>
          <w:lang w:val="en-US"/>
        </w:rPr>
        <w:t xml:space="preserve">by </w:t>
      </w:r>
      <w:r w:rsidR="00DC5262">
        <w:rPr>
          <w:rFonts w:asciiTheme="minorBidi" w:eastAsia="Arial" w:hAnsiTheme="minorBidi" w:cstheme="minorBidi"/>
          <w:lang w:val="en-US"/>
        </w:rPr>
        <w:t>requirin</w:t>
      </w:r>
      <w:r w:rsidR="0043777D">
        <w:rPr>
          <w:rFonts w:asciiTheme="minorBidi" w:eastAsia="Arial" w:hAnsiTheme="minorBidi" w:cstheme="minorBidi"/>
          <w:lang w:val="en-US"/>
        </w:rPr>
        <w:t xml:space="preserve">g a food business to display their rating at or near </w:t>
      </w:r>
      <w:r w:rsidR="00A67811">
        <w:rPr>
          <w:rFonts w:asciiTheme="minorBidi" w:eastAsia="Arial" w:hAnsiTheme="minorBidi" w:cstheme="minorBidi"/>
          <w:lang w:val="en-US"/>
        </w:rPr>
        <w:t>an</w:t>
      </w:r>
      <w:r w:rsidR="0043777D">
        <w:rPr>
          <w:rFonts w:asciiTheme="minorBidi" w:eastAsia="Arial" w:hAnsiTheme="minorBidi" w:cstheme="minorBidi"/>
          <w:lang w:val="en-US"/>
        </w:rPr>
        <w:t xml:space="preserve"> entrance </w:t>
      </w:r>
      <w:r w:rsidR="00CA7017">
        <w:rPr>
          <w:rFonts w:asciiTheme="minorBidi" w:eastAsia="Arial" w:hAnsiTheme="minorBidi" w:cstheme="minorBidi"/>
          <w:lang w:val="en-US"/>
        </w:rPr>
        <w:t xml:space="preserve">and </w:t>
      </w:r>
      <w:r w:rsidR="00BF101A">
        <w:rPr>
          <w:rFonts w:asciiTheme="minorBidi" w:eastAsia="Arial" w:hAnsiTheme="minorBidi" w:cstheme="minorBidi"/>
          <w:lang w:val="en-US"/>
        </w:rPr>
        <w:t>by publishing the rating on the FSA’s ratings website</w:t>
      </w:r>
      <w:r w:rsidR="00F6044D" w:rsidRPr="00FB1C6D">
        <w:rPr>
          <w:rFonts w:asciiTheme="minorBidi" w:eastAsia="Arial" w:hAnsiTheme="minorBidi" w:cstheme="minorBidi"/>
          <w:lang w:val="en-US"/>
        </w:rPr>
        <w:t xml:space="preserve">. </w:t>
      </w:r>
      <w:r w:rsidR="00D50F04" w:rsidRPr="2CBE60CD">
        <w:rPr>
          <w:color w:val="000000"/>
        </w:rPr>
        <w:t>The significant increase in online food ordering in recent years</w:t>
      </w:r>
      <w:r w:rsidR="00AD4E81" w:rsidRPr="006A0631">
        <w:rPr>
          <w:rStyle w:val="FootnoteReference"/>
          <w:color w:val="000000"/>
        </w:rPr>
        <w:footnoteReference w:id="10"/>
      </w:r>
      <w:r w:rsidR="64D0F476" w:rsidRPr="006A0631">
        <w:rPr>
          <w:color w:val="000000"/>
        </w:rPr>
        <w:t xml:space="preserve">, a shift </w:t>
      </w:r>
      <w:r w:rsidR="00783A32" w:rsidRPr="006A0631">
        <w:rPr>
          <w:color w:val="000000"/>
        </w:rPr>
        <w:t>fuel</w:t>
      </w:r>
      <w:r w:rsidR="00EA0CBF" w:rsidRPr="006A0631">
        <w:rPr>
          <w:color w:val="000000"/>
        </w:rPr>
        <w:t>l</w:t>
      </w:r>
      <w:r w:rsidR="00783A32" w:rsidRPr="006A0631">
        <w:rPr>
          <w:color w:val="000000"/>
        </w:rPr>
        <w:t>ed</w:t>
      </w:r>
      <w:r w:rsidR="64D0F476" w:rsidRPr="006A0631">
        <w:rPr>
          <w:color w:val="000000"/>
        </w:rPr>
        <w:t xml:space="preserve"> by the covid-19 pandemic</w:t>
      </w:r>
      <w:r w:rsidR="64D0F476" w:rsidRPr="2CBE60CD">
        <w:rPr>
          <w:color w:val="000000"/>
        </w:rPr>
        <w:t>,</w:t>
      </w:r>
      <w:r w:rsidR="00D50F04" w:rsidRPr="2CBE60CD">
        <w:rPr>
          <w:color w:val="000000"/>
        </w:rPr>
        <w:t xml:space="preserve"> has highlighted the need </w:t>
      </w:r>
      <w:r w:rsidR="00D50F04" w:rsidRPr="2CBE60CD">
        <w:rPr>
          <w:color w:val="000000" w:themeColor="text1"/>
        </w:rPr>
        <w:t xml:space="preserve">to </w:t>
      </w:r>
      <w:r w:rsidR="00D50F04" w:rsidRPr="2CBE60CD">
        <w:rPr>
          <w:color w:val="000000" w:themeColor="text1"/>
          <w:shd w:val="clear" w:color="auto" w:fill="FFFFFF"/>
        </w:rPr>
        <w:t>extend th</w:t>
      </w:r>
      <w:r w:rsidR="001D12C8" w:rsidRPr="2CBE60CD">
        <w:rPr>
          <w:color w:val="000000" w:themeColor="text1"/>
          <w:shd w:val="clear" w:color="auto" w:fill="FFFFFF"/>
        </w:rPr>
        <w:t>is</w:t>
      </w:r>
      <w:r w:rsidR="00D50F04" w:rsidRPr="2CBE60CD">
        <w:rPr>
          <w:color w:val="000000" w:themeColor="text1"/>
          <w:shd w:val="clear" w:color="auto" w:fill="FFFFFF"/>
        </w:rPr>
        <w:t xml:space="preserve"> </w:t>
      </w:r>
      <w:r w:rsidR="00D50F04" w:rsidRPr="2CBE60CD">
        <w:rPr>
          <w:rFonts w:eastAsia="Arial"/>
          <w:color w:val="000000"/>
        </w:rPr>
        <w:t>transparency about hygiene standards in food outlets, made available to consumers through FHRS, to the online food ordering market.</w:t>
      </w:r>
      <w:r w:rsidR="003A408F" w:rsidRPr="2CBE60CD">
        <w:rPr>
          <w:rFonts w:eastAsiaTheme="majorEastAsia"/>
          <w:color w:val="000000" w:themeColor="text1"/>
        </w:rPr>
        <w:t xml:space="preserve"> </w:t>
      </w:r>
      <w:r w:rsidR="000261E9" w:rsidRPr="00FB1C6D">
        <w:rPr>
          <w:rFonts w:asciiTheme="minorBidi" w:eastAsia="Arial" w:hAnsiTheme="minorBidi" w:cstheme="minorBidi"/>
          <w:lang w:val="en-US"/>
        </w:rPr>
        <w:t>Without public provision of information</w:t>
      </w:r>
      <w:r w:rsidR="0006478E">
        <w:rPr>
          <w:rFonts w:asciiTheme="minorBidi" w:eastAsia="Arial" w:hAnsiTheme="minorBidi" w:cstheme="minorBidi"/>
          <w:lang w:val="en-US"/>
        </w:rPr>
        <w:t xml:space="preserve"> online</w:t>
      </w:r>
      <w:r w:rsidR="000261E9" w:rsidRPr="00FB1C6D">
        <w:rPr>
          <w:rFonts w:asciiTheme="minorBidi" w:eastAsia="Arial" w:hAnsiTheme="minorBidi" w:cstheme="minorBidi"/>
          <w:lang w:val="en-US"/>
        </w:rPr>
        <w:t xml:space="preserve">, consumers do not have the same level of information about hygiene standards as food businesses do. This information asymmetry can lead to a situation in which consumers </w:t>
      </w:r>
      <w:r w:rsidR="00785864">
        <w:rPr>
          <w:rFonts w:asciiTheme="minorBidi" w:eastAsia="Arial" w:hAnsiTheme="minorBidi" w:cstheme="minorBidi"/>
          <w:lang w:val="en-US"/>
        </w:rPr>
        <w:t>order food from</w:t>
      </w:r>
      <w:r w:rsidR="000261E9" w:rsidRPr="00FB1C6D">
        <w:rPr>
          <w:rFonts w:asciiTheme="minorBidi" w:eastAsia="Arial" w:hAnsiTheme="minorBidi" w:cstheme="minorBidi"/>
          <w:lang w:val="en-US"/>
        </w:rPr>
        <w:t xml:space="preserve"> poorly compliant businesses more than they would if they were aware of these standards, imposing public health risks and associated societal costs</w:t>
      </w:r>
      <w:r w:rsidR="00206DEC">
        <w:rPr>
          <w:rFonts w:asciiTheme="minorBidi" w:eastAsia="Arial" w:hAnsiTheme="minorBidi" w:cstheme="minorBidi"/>
          <w:lang w:val="en-US"/>
        </w:rPr>
        <w:t xml:space="preserve"> such as public health burdens originating from the prevalence of foodborne disease</w:t>
      </w:r>
      <w:r w:rsidR="000261E9" w:rsidRPr="00FB1C6D">
        <w:rPr>
          <w:rFonts w:asciiTheme="minorBidi" w:eastAsia="Arial" w:hAnsiTheme="minorBidi" w:cstheme="minorBidi"/>
          <w:lang w:val="en-US"/>
        </w:rPr>
        <w:t xml:space="preserve">. </w:t>
      </w:r>
      <w:r w:rsidR="00792F0A">
        <w:rPr>
          <w:rStyle w:val="cf01"/>
          <w:rFonts w:ascii="Arial" w:eastAsiaTheme="majorEastAsia" w:hAnsi="Arial" w:cs="Arial"/>
          <w:sz w:val="24"/>
          <w:szCs w:val="24"/>
        </w:rPr>
        <w:t>K</w:t>
      </w:r>
      <w:r w:rsidR="000261E9" w:rsidRPr="0067650C">
        <w:rPr>
          <w:rStyle w:val="cf01"/>
          <w:rFonts w:ascii="Arial" w:eastAsiaTheme="majorEastAsia" w:hAnsi="Arial" w:cs="Arial"/>
          <w:sz w:val="24"/>
          <w:szCs w:val="24"/>
        </w:rPr>
        <w:t xml:space="preserve">nowing the facts, allows </w:t>
      </w:r>
      <w:r w:rsidR="00792F0A">
        <w:rPr>
          <w:rStyle w:val="cf01"/>
          <w:rFonts w:ascii="Arial" w:eastAsiaTheme="majorEastAsia" w:hAnsi="Arial" w:cs="Arial"/>
          <w:sz w:val="24"/>
          <w:szCs w:val="24"/>
        </w:rPr>
        <w:t>consumers</w:t>
      </w:r>
      <w:r w:rsidR="000261E9" w:rsidRPr="0067650C">
        <w:rPr>
          <w:rStyle w:val="cf01"/>
          <w:rFonts w:ascii="Arial" w:eastAsiaTheme="majorEastAsia" w:hAnsi="Arial" w:cs="Arial"/>
          <w:sz w:val="24"/>
          <w:szCs w:val="24"/>
        </w:rPr>
        <w:t xml:space="preserve"> to make </w:t>
      </w:r>
      <w:r w:rsidR="00F52815">
        <w:rPr>
          <w:rStyle w:val="cf01"/>
          <w:rFonts w:ascii="Arial" w:eastAsiaTheme="majorEastAsia" w:hAnsi="Arial" w:cs="Arial"/>
          <w:sz w:val="24"/>
          <w:szCs w:val="24"/>
        </w:rPr>
        <w:t xml:space="preserve">better informed </w:t>
      </w:r>
      <w:r w:rsidR="000261E9" w:rsidRPr="0067650C">
        <w:rPr>
          <w:rStyle w:val="cf01"/>
          <w:rFonts w:ascii="Arial" w:eastAsiaTheme="majorEastAsia" w:hAnsi="Arial" w:cs="Arial"/>
          <w:sz w:val="24"/>
          <w:szCs w:val="24"/>
        </w:rPr>
        <w:t>decisions about the food they eat</w:t>
      </w:r>
      <w:r w:rsidR="000261E9" w:rsidRPr="0067650C">
        <w:rPr>
          <w:rFonts w:eastAsia="Arial" w:cs="Arial"/>
          <w:lang w:val="en-US"/>
        </w:rPr>
        <w:t>.</w:t>
      </w:r>
      <w:r w:rsidR="000261E9" w:rsidRPr="00FB1C6D">
        <w:rPr>
          <w:rFonts w:asciiTheme="minorBidi" w:eastAsia="Arial" w:hAnsiTheme="minorBidi" w:cstheme="minorBidi"/>
          <w:lang w:val="en-US"/>
        </w:rPr>
        <w:t xml:space="preserve"> </w:t>
      </w:r>
      <w:r w:rsidR="00656AF8">
        <w:rPr>
          <w:rFonts w:asciiTheme="minorBidi" w:eastAsia="Arial" w:hAnsiTheme="minorBidi" w:cstheme="minorBidi"/>
          <w:lang w:val="en-US"/>
        </w:rPr>
        <w:br/>
      </w:r>
    </w:p>
    <w:p w14:paraId="39ED4BD5" w14:textId="20F18D50" w:rsidR="00602139" w:rsidRPr="004F7BD9" w:rsidRDefault="002C6BC0" w:rsidP="004F7BD9">
      <w:pPr>
        <w:pStyle w:val="ListParagraph"/>
        <w:numPr>
          <w:ilvl w:val="0"/>
          <w:numId w:val="7"/>
        </w:numPr>
        <w:spacing w:before="240" w:after="60"/>
        <w:rPr>
          <w:color w:val="000000"/>
        </w:rPr>
      </w:pPr>
      <w:r>
        <w:t>F</w:t>
      </w:r>
      <w:r w:rsidR="003A408F" w:rsidRPr="003A408F">
        <w:t>rom an industry perspective,</w:t>
      </w:r>
      <w:r w:rsidR="003A408F">
        <w:t xml:space="preserve"> </w:t>
      </w:r>
      <w:r w:rsidR="003A408F" w:rsidRPr="2CBE60CD">
        <w:rPr>
          <w:rFonts w:eastAsiaTheme="majorEastAsia"/>
          <w:color w:val="000000" w:themeColor="text1"/>
        </w:rPr>
        <w:t>affording consumers the opportunity to make informed choices when also ordering food online provides a strong incentive for businesses to achieve and maintain compliance with existing food hygiene law.</w:t>
      </w:r>
      <w:r w:rsidR="00942A87" w:rsidRPr="2CBE60CD">
        <w:rPr>
          <w:rFonts w:eastAsiaTheme="majorEastAsia"/>
          <w:color w:val="000000" w:themeColor="text1"/>
        </w:rPr>
        <w:t xml:space="preserve"> </w:t>
      </w:r>
      <w:r w:rsidR="003A408F" w:rsidRPr="2CBE60CD">
        <w:rPr>
          <w:color w:val="000000" w:themeColor="text1"/>
        </w:rPr>
        <w:t>I</w:t>
      </w:r>
      <w:r w:rsidR="00D50F04" w:rsidRPr="2CBE60CD">
        <w:rPr>
          <w:color w:val="000000" w:themeColor="text1"/>
        </w:rPr>
        <w:t>mproved standards and sustained compliance contribute to reducing the public health burden of foodborne illness</w:t>
      </w:r>
      <w:r w:rsidR="00142A2D" w:rsidRPr="2CBE60CD">
        <w:rPr>
          <w:color w:val="000000" w:themeColor="text1"/>
        </w:rPr>
        <w:t>, while</w:t>
      </w:r>
      <w:r w:rsidR="00D50F04" w:rsidRPr="2CBE60CD">
        <w:rPr>
          <w:color w:val="000000" w:themeColor="text1"/>
        </w:rPr>
        <w:t xml:space="preserve"> provid</w:t>
      </w:r>
      <w:r w:rsidR="00142A2D" w:rsidRPr="2CBE60CD">
        <w:rPr>
          <w:color w:val="000000" w:themeColor="text1"/>
        </w:rPr>
        <w:t>ing businesses with</w:t>
      </w:r>
      <w:r w:rsidR="00D50F04" w:rsidRPr="2CBE60CD">
        <w:rPr>
          <w:color w:val="000000" w:themeColor="text1"/>
        </w:rPr>
        <w:t xml:space="preserve"> an effective basis for earned recognition</w:t>
      </w:r>
      <w:r w:rsidR="00780CD0">
        <w:rPr>
          <w:color w:val="000000" w:themeColor="text1"/>
        </w:rPr>
        <w:t xml:space="preserve"> resulting in</w:t>
      </w:r>
      <w:r w:rsidR="00D50F04" w:rsidRPr="2CBE60CD">
        <w:rPr>
          <w:color w:val="000000" w:themeColor="text1"/>
        </w:rPr>
        <w:t xml:space="preserve"> fewer inspections</w:t>
      </w:r>
      <w:r w:rsidR="00780CD0">
        <w:rPr>
          <w:color w:val="000000" w:themeColor="text1"/>
        </w:rPr>
        <w:t>.</w:t>
      </w:r>
      <w:r w:rsidR="00272151" w:rsidRPr="2CBE60CD">
        <w:rPr>
          <w:color w:val="000000" w:themeColor="text1"/>
        </w:rPr>
        <w:t xml:space="preserve"> For </w:t>
      </w:r>
      <w:r w:rsidR="000312B3" w:rsidRPr="2CBE60CD">
        <w:rPr>
          <w:color w:val="000000" w:themeColor="text1"/>
        </w:rPr>
        <w:t>d</w:t>
      </w:r>
      <w:r w:rsidR="00272151" w:rsidRPr="2CBE60CD">
        <w:rPr>
          <w:color w:val="000000" w:themeColor="text1"/>
        </w:rPr>
        <w:t xml:space="preserve">istrict </w:t>
      </w:r>
      <w:r w:rsidR="000312B3" w:rsidRPr="2CBE60CD">
        <w:rPr>
          <w:color w:val="000000" w:themeColor="text1"/>
        </w:rPr>
        <w:t>c</w:t>
      </w:r>
      <w:r w:rsidR="00272151" w:rsidRPr="2CBE60CD">
        <w:rPr>
          <w:color w:val="000000" w:themeColor="text1"/>
        </w:rPr>
        <w:t>ouncils</w:t>
      </w:r>
      <w:r w:rsidR="00F52DAD" w:rsidRPr="2CBE60CD">
        <w:rPr>
          <w:color w:val="000000" w:themeColor="text1"/>
        </w:rPr>
        <w:t>,</w:t>
      </w:r>
      <w:r w:rsidR="006A2784" w:rsidRPr="2CBE60CD">
        <w:rPr>
          <w:color w:val="000000" w:themeColor="text1"/>
        </w:rPr>
        <w:t xml:space="preserve"> this increase</w:t>
      </w:r>
      <w:r w:rsidR="008B4B9E" w:rsidRPr="2CBE60CD">
        <w:rPr>
          <w:color w:val="000000" w:themeColor="text1"/>
        </w:rPr>
        <w:t xml:space="preserve"> in compliance rates </w:t>
      </w:r>
      <w:r w:rsidR="00970B94">
        <w:rPr>
          <w:color w:val="000000" w:themeColor="text1"/>
        </w:rPr>
        <w:t xml:space="preserve">will </w:t>
      </w:r>
      <w:r w:rsidR="00B80435">
        <w:rPr>
          <w:color w:val="000000" w:themeColor="text1"/>
        </w:rPr>
        <w:t>further reduce frequency</w:t>
      </w:r>
      <w:r w:rsidR="006A2784" w:rsidRPr="2CBE60CD">
        <w:rPr>
          <w:color w:val="000000" w:themeColor="text1"/>
        </w:rPr>
        <w:t xml:space="preserve"> of</w:t>
      </w:r>
      <w:r w:rsidR="00201511" w:rsidRPr="2CBE60CD">
        <w:rPr>
          <w:color w:val="000000" w:themeColor="text1"/>
        </w:rPr>
        <w:t xml:space="preserve"> </w:t>
      </w:r>
      <w:r w:rsidR="00B80435">
        <w:rPr>
          <w:color w:val="000000" w:themeColor="text1"/>
        </w:rPr>
        <w:t>inspections</w:t>
      </w:r>
      <w:r w:rsidR="00596B21">
        <w:rPr>
          <w:color w:val="000000" w:themeColor="text1"/>
        </w:rPr>
        <w:t xml:space="preserve"> </w:t>
      </w:r>
      <w:r w:rsidR="00164A11">
        <w:rPr>
          <w:color w:val="000000" w:themeColor="text1"/>
        </w:rPr>
        <w:t>enabling</w:t>
      </w:r>
      <w:r w:rsidR="00B30A0D" w:rsidRPr="2CBE60CD">
        <w:rPr>
          <w:color w:val="000000" w:themeColor="text1"/>
        </w:rPr>
        <w:t xml:space="preserve"> similar resource efficiencies and reallocations</w:t>
      </w:r>
      <w:r w:rsidR="007E1523" w:rsidRPr="2CBE60CD">
        <w:rPr>
          <w:color w:val="000000" w:themeColor="text1"/>
        </w:rPr>
        <w:t>, as well as reducing the need for</w:t>
      </w:r>
      <w:r w:rsidR="00D50F04" w:rsidRPr="2CBE60CD">
        <w:rPr>
          <w:color w:val="000000" w:themeColor="text1"/>
        </w:rPr>
        <w:t xml:space="preserve"> formal enforcement action</w:t>
      </w:r>
      <w:r w:rsidR="001B6E3A">
        <w:rPr>
          <w:color w:val="000000" w:themeColor="text1"/>
        </w:rPr>
        <w:t xml:space="preserve">, </w:t>
      </w:r>
      <w:r w:rsidR="00164A11">
        <w:rPr>
          <w:color w:val="000000" w:themeColor="text1"/>
        </w:rPr>
        <w:t>allowing</w:t>
      </w:r>
      <w:r w:rsidR="007E1523" w:rsidRPr="2CBE60CD">
        <w:rPr>
          <w:color w:val="000000" w:themeColor="text1"/>
        </w:rPr>
        <w:t xml:space="preserve"> these resources</w:t>
      </w:r>
      <w:r w:rsidR="00D50F04" w:rsidRPr="2CBE60CD">
        <w:rPr>
          <w:color w:val="000000" w:themeColor="text1"/>
        </w:rPr>
        <w:t xml:space="preserve"> to be directed to poorly performing businesses.</w:t>
      </w:r>
      <w:r w:rsidR="00E43DE3" w:rsidRPr="2CBE60CD">
        <w:rPr>
          <w:color w:val="000000" w:themeColor="text1"/>
        </w:rPr>
        <w:t xml:space="preserve"> </w:t>
      </w:r>
      <w:r w:rsidR="004F7BD9">
        <w:br/>
      </w:r>
    </w:p>
    <w:p w14:paraId="5328A54E" w14:textId="591B0A32" w:rsidR="00D50F04" w:rsidRPr="00D50F04" w:rsidRDefault="00D50F04" w:rsidP="00602139">
      <w:pPr>
        <w:pStyle w:val="ListParagraph"/>
        <w:numPr>
          <w:ilvl w:val="0"/>
          <w:numId w:val="7"/>
        </w:numPr>
        <w:spacing w:before="240" w:after="60"/>
        <w:rPr>
          <w:color w:val="000000" w:themeColor="text1"/>
        </w:rPr>
      </w:pPr>
      <w:r w:rsidRPr="00D50F04">
        <w:rPr>
          <w:color w:val="000000" w:themeColor="text1"/>
        </w:rPr>
        <w:t>The Food Hygiene Rating Act (Northern Ireland) 2016 introduced a statutory food hygiene rating scheme in Northern Ireland. The legislation includes provisions which make it mandatory for food businesses to display food hygiene rating stickers at their premises.</w:t>
      </w:r>
      <w:r w:rsidRPr="004F0BBE">
        <w:t xml:space="preserve"> </w:t>
      </w:r>
      <w:r w:rsidRPr="00D50F04">
        <w:rPr>
          <w:color w:val="000000" w:themeColor="text1"/>
        </w:rPr>
        <w:t>The Food Hygiene Rating Regulations (Northern Ireland) 2016 make provision in relation to food hygiene ratings under the Act insofar as they prescribe the form of a Food Hygiene Rating Sticker to be issued under section 2(2) of the Act and specify the location and manner of display.</w:t>
      </w:r>
      <w:r w:rsidR="004F7BD9">
        <w:br/>
      </w:r>
    </w:p>
    <w:p w14:paraId="7F737C2C" w14:textId="7D62F55B" w:rsidR="00D50F04" w:rsidRPr="00D50F04" w:rsidRDefault="00D50F04" w:rsidP="00602139">
      <w:pPr>
        <w:pStyle w:val="ListParagraph"/>
        <w:numPr>
          <w:ilvl w:val="0"/>
          <w:numId w:val="7"/>
        </w:numPr>
        <w:spacing w:before="240" w:after="60"/>
        <w:rPr>
          <w:rFonts w:eastAsia="Calibri"/>
          <w:b/>
          <w:bCs/>
          <w:color w:val="000000" w:themeColor="text1"/>
        </w:rPr>
      </w:pPr>
      <w:r>
        <w:t xml:space="preserve">The Act also includes a regulation making power regarding the publication of ratings online by food business operators who supply consumers with food that they order using an online facility. The requirement was introduced at the committee stage of the </w:t>
      </w:r>
      <w:r>
        <w:lastRenderedPageBreak/>
        <w:t>Food Hygiene Rating Bill (precursor to the Act) at the request of the members</w:t>
      </w:r>
      <w:r>
        <w:rPr>
          <w:rStyle w:val="FootnoteReference"/>
          <w:rFonts w:eastAsia="SimSun"/>
        </w:rPr>
        <w:footnoteReference w:id="11"/>
      </w:r>
      <w:r>
        <w:t>.</w:t>
      </w:r>
      <w:r w:rsidR="004F7BD9">
        <w:br/>
      </w:r>
    </w:p>
    <w:p w14:paraId="59A1326E" w14:textId="59987EA9" w:rsidR="002D60D6" w:rsidRPr="003B4C01" w:rsidRDefault="00D50F04" w:rsidP="003B4C01">
      <w:pPr>
        <w:pStyle w:val="ListParagraph"/>
        <w:numPr>
          <w:ilvl w:val="0"/>
          <w:numId w:val="7"/>
        </w:numPr>
        <w:spacing w:before="240" w:after="60"/>
        <w:rPr>
          <w:rFonts w:eastAsia="Calibri"/>
          <w:color w:val="494949"/>
        </w:rPr>
      </w:pPr>
      <w:r w:rsidRPr="2CBE60CD">
        <w:rPr>
          <w:color w:val="000000" w:themeColor="text1"/>
        </w:rPr>
        <w:t xml:space="preserve">In order to satisfy the provisions in relation to the online display of food hygiene ratings, detailed in </w:t>
      </w:r>
      <w:r w:rsidRPr="00D50F04">
        <w:rPr>
          <w:color w:val="000000" w:themeColor="text1"/>
        </w:rPr>
        <w:t>s</w:t>
      </w:r>
      <w:r w:rsidRPr="2CBE60CD">
        <w:rPr>
          <w:color w:val="000000" w:themeColor="text1"/>
        </w:rPr>
        <w:t xml:space="preserve">ection 7 (3) of the Act, secondary legislation is required. </w:t>
      </w:r>
      <w:r w:rsidRPr="00D50F04">
        <w:rPr>
          <w:color w:val="000000" w:themeColor="text1"/>
        </w:rPr>
        <w:t>Without government intervention, it is unlikely that all sectors of the online food ordering market operating in NI will provide the required information.</w:t>
      </w:r>
      <w:bookmarkStart w:id="6" w:name="_Hlk3546838"/>
      <w:r w:rsidR="003B4C01">
        <w:rPr>
          <w:color w:val="000000" w:themeColor="text1"/>
        </w:rPr>
        <w:br/>
      </w:r>
    </w:p>
    <w:bookmarkEnd w:id="6"/>
    <w:p w14:paraId="19633218" w14:textId="48DB5CB8" w:rsidR="001B42F1" w:rsidRPr="005F1A03" w:rsidRDefault="006647A3" w:rsidP="006647A3">
      <w:pPr>
        <w:pStyle w:val="Heading3"/>
        <w:rPr>
          <w:rFonts w:eastAsia="Calibri"/>
        </w:rPr>
      </w:pPr>
      <w:r>
        <w:rPr>
          <w:rFonts w:eastAsia="Calibri"/>
        </w:rPr>
        <w:t>Policy Objective</w:t>
      </w:r>
    </w:p>
    <w:p w14:paraId="0D857287" w14:textId="0192495A" w:rsidR="001B42F1" w:rsidRDefault="001B42F1" w:rsidP="004F7BD9">
      <w:pPr>
        <w:pStyle w:val="ListParagraph"/>
        <w:keepNext/>
        <w:keepLines/>
        <w:numPr>
          <w:ilvl w:val="0"/>
          <w:numId w:val="7"/>
        </w:numPr>
        <w:spacing w:before="240" w:after="60"/>
        <w:outlineLvl w:val="0"/>
        <w:rPr>
          <w:noProof/>
        </w:rPr>
      </w:pPr>
      <w:r w:rsidRPr="00547C9F">
        <w:rPr>
          <w:color w:val="000000" w:themeColor="text1"/>
        </w:rPr>
        <w:t>Th</w:t>
      </w:r>
      <w:r w:rsidRPr="00BA1772">
        <w:rPr>
          <w:noProof/>
        </w:rPr>
        <w:t>e policy objective is to:</w:t>
      </w:r>
    </w:p>
    <w:p w14:paraId="53875FAC" w14:textId="77777777" w:rsidR="001B42F1" w:rsidRPr="00BA1772" w:rsidRDefault="001B42F1" w:rsidP="001B42F1">
      <w:pPr>
        <w:pStyle w:val="ListParagraph"/>
        <w:keepNext/>
        <w:keepLines/>
        <w:spacing w:before="240" w:after="60"/>
        <w:ind w:left="1141"/>
        <w:outlineLvl w:val="0"/>
        <w:rPr>
          <w:noProof/>
        </w:rPr>
      </w:pPr>
    </w:p>
    <w:p w14:paraId="0B6E3BA4" w14:textId="23ADB1E5" w:rsidR="001B42F1" w:rsidRDefault="001B42F1" w:rsidP="001B42F1">
      <w:pPr>
        <w:pStyle w:val="ListParagraph"/>
        <w:numPr>
          <w:ilvl w:val="0"/>
          <w:numId w:val="3"/>
        </w:numPr>
        <w:tabs>
          <w:tab w:val="left" w:pos="5790"/>
        </w:tabs>
        <w:spacing w:before="240" w:after="60"/>
        <w:rPr>
          <w:color w:val="000000" w:themeColor="text1"/>
        </w:rPr>
      </w:pPr>
      <w:r>
        <w:t>To</w:t>
      </w:r>
      <w:r w:rsidRPr="00BA1772">
        <w:t xml:space="preserve"> ensure the </w:t>
      </w:r>
      <w:r w:rsidR="000C65BA">
        <w:t>full</w:t>
      </w:r>
      <w:r w:rsidRPr="00BA1772">
        <w:t xml:space="preserve"> </w:t>
      </w:r>
      <w:r w:rsidR="00846F28">
        <w:t>implementation</w:t>
      </w:r>
      <w:r w:rsidRPr="00BA1772">
        <w:t xml:space="preserve"> of the statutory food hygiene rating scheme in Northern Ireland </w:t>
      </w:r>
      <w:r w:rsidR="00A83F9B">
        <w:t xml:space="preserve">by </w:t>
      </w:r>
      <w:r w:rsidR="00AB0F53">
        <w:t>enacting</w:t>
      </w:r>
      <w:r w:rsidRPr="00BA1772">
        <w:t xml:space="preserve"> </w:t>
      </w:r>
      <w:r>
        <w:t xml:space="preserve">Regulations to give effect to </w:t>
      </w:r>
      <w:r w:rsidRPr="00BA1772">
        <w:t xml:space="preserve">the online display provision </w:t>
      </w:r>
      <w:r w:rsidR="00273C0D">
        <w:t xml:space="preserve">of the Act </w:t>
      </w:r>
      <w:r w:rsidRPr="00BA1772">
        <w:t xml:space="preserve">(as </w:t>
      </w:r>
      <w:r w:rsidR="00273C0D">
        <w:rPr>
          <w:color w:val="000000" w:themeColor="text1"/>
        </w:rPr>
        <w:t>per</w:t>
      </w:r>
      <w:r w:rsidRPr="00D05066">
        <w:rPr>
          <w:color w:val="000000" w:themeColor="text1"/>
        </w:rPr>
        <w:t xml:space="preserve"> Section 7 (3))</w:t>
      </w:r>
    </w:p>
    <w:p w14:paraId="1EF2BED3" w14:textId="77777777" w:rsidR="001B42F1" w:rsidRPr="00D05066" w:rsidRDefault="001B42F1" w:rsidP="001B42F1">
      <w:pPr>
        <w:pStyle w:val="ListParagraph"/>
        <w:tabs>
          <w:tab w:val="left" w:pos="5790"/>
        </w:tabs>
        <w:spacing w:before="240" w:after="60"/>
        <w:ind w:left="1006"/>
        <w:rPr>
          <w:color w:val="000000" w:themeColor="text1"/>
        </w:rPr>
      </w:pPr>
    </w:p>
    <w:p w14:paraId="618F59A0" w14:textId="77777777" w:rsidR="001B42F1" w:rsidRPr="00731890" w:rsidRDefault="001B42F1" w:rsidP="001B42F1">
      <w:pPr>
        <w:pStyle w:val="ListParagraph"/>
        <w:numPr>
          <w:ilvl w:val="0"/>
          <w:numId w:val="3"/>
        </w:numPr>
        <w:spacing w:before="240" w:after="60"/>
        <w:rPr>
          <w:rFonts w:cs="Arial"/>
          <w:bCs/>
          <w:color w:val="000000" w:themeColor="text1"/>
          <w:lang w:eastAsia="en-GB"/>
        </w:rPr>
      </w:pPr>
      <w:r w:rsidRPr="007E17A0">
        <w:rPr>
          <w:rFonts w:cs="Arial"/>
          <w:bCs/>
          <w:color w:val="000000" w:themeColor="text1"/>
          <w:lang w:eastAsia="en-GB"/>
        </w:rPr>
        <w:t xml:space="preserve">Achieving the above objective will allow the full scope of the Act, with regard to statutory display of a business’s food hygiene rating, to be implemented. The outcome will </w:t>
      </w:r>
      <w:r w:rsidRPr="00D05066">
        <w:rPr>
          <w:rFonts w:eastAsia="Calibri"/>
          <w:bCs/>
          <w:color w:val="000000"/>
        </w:rPr>
        <w:t>provid</w:t>
      </w:r>
      <w:r w:rsidRPr="00D05066">
        <w:rPr>
          <w:rFonts w:eastAsia="Calibri" w:cs="Arial"/>
          <w:bCs/>
          <w:color w:val="000000"/>
          <w:lang w:eastAsia="en-GB"/>
        </w:rPr>
        <w:t xml:space="preserve">e </w:t>
      </w:r>
      <w:r w:rsidRPr="00D05066">
        <w:rPr>
          <w:rFonts w:eastAsia="Calibri"/>
          <w:bCs/>
          <w:color w:val="000000"/>
        </w:rPr>
        <w:t>consumers with information about the hygiene standards in food businesses enabling them to make informed choices when ordering food online.</w:t>
      </w:r>
      <w:r w:rsidRPr="00D05066">
        <w:rPr>
          <w:rFonts w:cs="Arial"/>
          <w:bCs/>
          <w:color w:val="000000"/>
          <w:lang w:eastAsia="en-GB"/>
        </w:rPr>
        <w:t xml:space="preserve"> In practice this will </w:t>
      </w:r>
      <w:r w:rsidRPr="007E17A0">
        <w:rPr>
          <w:rFonts w:eastAsiaTheme="majorEastAsia" w:cs="Arial"/>
          <w:bCs/>
          <w:color w:val="000000" w:themeColor="text1"/>
          <w:lang w:eastAsia="en-GB"/>
        </w:rPr>
        <w:t xml:space="preserve">provide a strong incentive for businesses to achieve and maintain compliance with existing food hygiene law which in turn </w:t>
      </w:r>
      <w:r w:rsidRPr="00D05066">
        <w:rPr>
          <w:rFonts w:cs="Arial"/>
          <w:bCs/>
          <w:color w:val="000000"/>
          <w:lang w:eastAsia="en-GB"/>
        </w:rPr>
        <w:t xml:space="preserve">will contribute to reducing the public health burden of foodborne illness. </w:t>
      </w:r>
    </w:p>
    <w:p w14:paraId="46D0AEE8" w14:textId="77777777" w:rsidR="00CB66E8" w:rsidRDefault="00CB66E8" w:rsidP="00490E59">
      <w:pPr>
        <w:rPr>
          <w:rFonts w:eastAsia="Calibri"/>
          <w:b/>
          <w:bCs/>
          <w:color w:val="006F51"/>
        </w:rPr>
      </w:pPr>
    </w:p>
    <w:p w14:paraId="0A42CDE0" w14:textId="77777777" w:rsidR="00CB66E8" w:rsidRDefault="00CB66E8" w:rsidP="00490E59">
      <w:pPr>
        <w:rPr>
          <w:rFonts w:eastAsia="Calibri"/>
          <w:b/>
          <w:bCs/>
          <w:color w:val="006F51"/>
        </w:rPr>
      </w:pPr>
    </w:p>
    <w:p w14:paraId="2CAC3CB0" w14:textId="77777777" w:rsidR="00CB66E8" w:rsidRDefault="00CB66E8" w:rsidP="00490E59">
      <w:pPr>
        <w:rPr>
          <w:rFonts w:eastAsia="Calibri"/>
          <w:b/>
          <w:bCs/>
          <w:color w:val="006F51"/>
        </w:rPr>
      </w:pPr>
    </w:p>
    <w:p w14:paraId="46BB7F41" w14:textId="77777777" w:rsidR="00CB66E8" w:rsidRDefault="00CB66E8" w:rsidP="00490E59">
      <w:pPr>
        <w:rPr>
          <w:rFonts w:eastAsia="Calibri"/>
          <w:b/>
          <w:bCs/>
          <w:color w:val="006F51"/>
        </w:rPr>
      </w:pPr>
    </w:p>
    <w:p w14:paraId="04605E30" w14:textId="77777777" w:rsidR="00CB66E8" w:rsidRDefault="00CB66E8" w:rsidP="00490E59">
      <w:pPr>
        <w:rPr>
          <w:rFonts w:eastAsia="Calibri"/>
          <w:b/>
          <w:bCs/>
          <w:color w:val="006F51"/>
        </w:rPr>
      </w:pPr>
    </w:p>
    <w:p w14:paraId="1A4EFBD5" w14:textId="77777777" w:rsidR="00CB66E8" w:rsidRDefault="00CB66E8" w:rsidP="00490E59">
      <w:pPr>
        <w:rPr>
          <w:rFonts w:eastAsia="Calibri"/>
          <w:b/>
          <w:bCs/>
          <w:color w:val="006F51"/>
        </w:rPr>
      </w:pPr>
    </w:p>
    <w:p w14:paraId="57683B88" w14:textId="77777777" w:rsidR="00CB66E8" w:rsidRDefault="00CB66E8" w:rsidP="00490E59">
      <w:pPr>
        <w:rPr>
          <w:rFonts w:eastAsia="Calibri"/>
          <w:b/>
          <w:bCs/>
          <w:color w:val="006F51"/>
        </w:rPr>
      </w:pPr>
    </w:p>
    <w:p w14:paraId="7DD749FD" w14:textId="77777777" w:rsidR="00CB66E8" w:rsidRDefault="00CB66E8" w:rsidP="00490E59">
      <w:pPr>
        <w:rPr>
          <w:rFonts w:eastAsia="Calibri"/>
          <w:b/>
          <w:bCs/>
          <w:color w:val="006F51"/>
        </w:rPr>
      </w:pPr>
    </w:p>
    <w:p w14:paraId="3E599E64" w14:textId="77777777" w:rsidR="00CB66E8" w:rsidRDefault="00CB66E8" w:rsidP="00490E59">
      <w:pPr>
        <w:rPr>
          <w:rFonts w:eastAsia="Calibri"/>
          <w:b/>
          <w:bCs/>
          <w:color w:val="006F51"/>
        </w:rPr>
      </w:pPr>
    </w:p>
    <w:p w14:paraId="14114527" w14:textId="77777777" w:rsidR="00CB66E8" w:rsidRDefault="00CB66E8" w:rsidP="00490E59">
      <w:pPr>
        <w:rPr>
          <w:rFonts w:eastAsia="Calibri"/>
          <w:b/>
          <w:bCs/>
          <w:color w:val="006F51"/>
        </w:rPr>
      </w:pPr>
    </w:p>
    <w:p w14:paraId="2ED60E2D" w14:textId="77777777" w:rsidR="00CB66E8" w:rsidRDefault="00CB66E8" w:rsidP="00490E59">
      <w:pPr>
        <w:rPr>
          <w:rFonts w:eastAsia="Calibri"/>
          <w:b/>
          <w:bCs/>
          <w:color w:val="006F51"/>
        </w:rPr>
      </w:pPr>
    </w:p>
    <w:p w14:paraId="1543F180" w14:textId="77777777" w:rsidR="00CB66E8" w:rsidRDefault="00CB66E8" w:rsidP="00490E59">
      <w:pPr>
        <w:rPr>
          <w:rFonts w:eastAsia="Calibri"/>
          <w:b/>
          <w:bCs/>
          <w:color w:val="006F51"/>
        </w:rPr>
      </w:pPr>
    </w:p>
    <w:p w14:paraId="5A6F8A21" w14:textId="77777777" w:rsidR="00CB66E8" w:rsidRDefault="00CB66E8" w:rsidP="00490E59">
      <w:pPr>
        <w:rPr>
          <w:rFonts w:eastAsia="Calibri"/>
          <w:b/>
          <w:bCs/>
          <w:color w:val="006F51"/>
        </w:rPr>
      </w:pPr>
    </w:p>
    <w:p w14:paraId="0B2DDB4C" w14:textId="5A817286" w:rsidR="00490E59" w:rsidRDefault="006647A3" w:rsidP="006647A3">
      <w:pPr>
        <w:pStyle w:val="Heading3"/>
        <w:rPr>
          <w:rFonts w:eastAsia="Calibri"/>
        </w:rPr>
      </w:pPr>
      <w:r>
        <w:rPr>
          <w:rFonts w:eastAsia="Calibri"/>
        </w:rPr>
        <w:t>Policy options</w:t>
      </w:r>
    </w:p>
    <w:p w14:paraId="32899451" w14:textId="77777777" w:rsidR="00606830" w:rsidRPr="00BA1772" w:rsidRDefault="00606830" w:rsidP="00606830">
      <w:pPr>
        <w:spacing w:before="240" w:after="60"/>
        <w:ind w:left="-74"/>
        <w:rPr>
          <w:bCs/>
          <w:color w:val="000000"/>
          <w:sz w:val="22"/>
          <w:szCs w:val="22"/>
          <w:highlight w:val="yellow"/>
        </w:rPr>
      </w:pPr>
    </w:p>
    <w:tbl>
      <w:tblPr>
        <w:tblStyle w:val="TableGrid"/>
        <w:tblW w:w="5000" w:type="pct"/>
        <w:tblLook w:val="04A0" w:firstRow="1" w:lastRow="0" w:firstColumn="1" w:lastColumn="0" w:noHBand="0" w:noVBand="1"/>
      </w:tblPr>
      <w:tblGrid>
        <w:gridCol w:w="1448"/>
        <w:gridCol w:w="8622"/>
      </w:tblGrid>
      <w:tr w:rsidR="00606830" w:rsidRPr="00BA1772" w14:paraId="2F5B8599" w14:textId="77777777" w:rsidTr="00520F9E">
        <w:tc>
          <w:tcPr>
            <w:tcW w:w="719" w:type="pct"/>
            <w:hideMark/>
          </w:tcPr>
          <w:p w14:paraId="630BC888" w14:textId="77777777" w:rsidR="00606830" w:rsidRPr="00BA1772" w:rsidRDefault="00606830" w:rsidP="0049593C">
            <w:pPr>
              <w:keepNext/>
              <w:keepLines/>
              <w:autoSpaceDE w:val="0"/>
              <w:autoSpaceDN w:val="0"/>
              <w:adjustRightInd w:val="0"/>
              <w:spacing w:before="240" w:after="60"/>
              <w:ind w:left="-74"/>
              <w:rPr>
                <w:rFonts w:eastAsia="Calibri"/>
                <w:b/>
                <w:bCs/>
                <w:szCs w:val="22"/>
              </w:rPr>
            </w:pPr>
            <w:r w:rsidRPr="00BA1772">
              <w:rPr>
                <w:rFonts w:eastAsia="Calibri"/>
                <w:b/>
                <w:szCs w:val="22"/>
              </w:rPr>
              <w:lastRenderedPageBreak/>
              <w:t>Option 1:</w:t>
            </w:r>
          </w:p>
        </w:tc>
        <w:tc>
          <w:tcPr>
            <w:tcW w:w="4281" w:type="pct"/>
            <w:hideMark/>
          </w:tcPr>
          <w:p w14:paraId="6CF53E56" w14:textId="3BEF8CF9" w:rsidR="009B4F4D" w:rsidRPr="00BA1772" w:rsidRDefault="00606830">
            <w:pPr>
              <w:keepNext/>
              <w:keepLines/>
              <w:tabs>
                <w:tab w:val="left" w:pos="720"/>
              </w:tabs>
              <w:spacing w:before="240" w:after="60"/>
              <w:ind w:left="-74"/>
              <w:rPr>
                <w:b/>
                <w:bCs/>
                <w:i/>
                <w:color w:val="000000"/>
              </w:rPr>
            </w:pPr>
            <w:r w:rsidRPr="006A0631">
              <w:rPr>
                <w:b/>
                <w:bCs/>
                <w:iCs/>
                <w:color w:val="000000"/>
              </w:rPr>
              <w:t xml:space="preserve">'Do nothing': do not </w:t>
            </w:r>
            <w:r w:rsidR="00C03543" w:rsidRPr="006A0631">
              <w:rPr>
                <w:b/>
                <w:bCs/>
                <w:iCs/>
                <w:color w:val="000000"/>
              </w:rPr>
              <w:t xml:space="preserve">implement </w:t>
            </w:r>
            <w:r w:rsidRPr="006A0631">
              <w:rPr>
                <w:b/>
                <w:bCs/>
                <w:iCs/>
                <w:color w:val="000000"/>
              </w:rPr>
              <w:t xml:space="preserve">secondary legislation </w:t>
            </w:r>
            <w:r w:rsidR="00C03543" w:rsidRPr="006A0631">
              <w:rPr>
                <w:b/>
                <w:bCs/>
                <w:iCs/>
                <w:color w:val="000000"/>
              </w:rPr>
              <w:t xml:space="preserve">mandating the online display of </w:t>
            </w:r>
            <w:r w:rsidR="009B4F4D" w:rsidRPr="006A0631">
              <w:rPr>
                <w:b/>
                <w:bCs/>
                <w:iCs/>
                <w:color w:val="000000"/>
              </w:rPr>
              <w:t>FHRs</w:t>
            </w:r>
          </w:p>
          <w:p w14:paraId="16289EA9" w14:textId="77777777" w:rsidR="00606830" w:rsidRPr="00BA1772" w:rsidRDefault="00606830" w:rsidP="0049593C">
            <w:pPr>
              <w:keepNext/>
              <w:keepLines/>
              <w:tabs>
                <w:tab w:val="left" w:pos="720"/>
              </w:tabs>
              <w:spacing w:before="240" w:after="60"/>
              <w:ind w:left="-74"/>
              <w:rPr>
                <w:bCs/>
                <w:color w:val="000000"/>
              </w:rPr>
            </w:pPr>
            <w:r w:rsidRPr="00BA1772">
              <w:rPr>
                <w:bCs/>
                <w:color w:val="000000"/>
              </w:rPr>
              <w:t>Without the secondary legislation the provision regarding online display in the Food Hygiene Rating Act (Northern Ireland) 2016 would be ineffective and could not be implemented.</w:t>
            </w:r>
          </w:p>
        </w:tc>
      </w:tr>
      <w:tr w:rsidR="00606830" w:rsidRPr="00BA1772" w14:paraId="4B57C294" w14:textId="77777777" w:rsidTr="00520F9E">
        <w:trPr>
          <w:trHeight w:val="858"/>
        </w:trPr>
        <w:tc>
          <w:tcPr>
            <w:tcW w:w="719" w:type="pct"/>
            <w:hideMark/>
          </w:tcPr>
          <w:p w14:paraId="65210E01" w14:textId="77777777" w:rsidR="00606830" w:rsidRPr="00BA1772" w:rsidRDefault="00606830" w:rsidP="0049593C">
            <w:pPr>
              <w:tabs>
                <w:tab w:val="left" w:pos="720"/>
              </w:tabs>
              <w:spacing w:before="240" w:after="60"/>
              <w:ind w:left="-74"/>
              <w:rPr>
                <w:b/>
                <w:bCs/>
                <w:color w:val="000000"/>
              </w:rPr>
            </w:pPr>
            <w:r w:rsidRPr="00BA1772">
              <w:rPr>
                <w:b/>
                <w:color w:val="000000"/>
              </w:rPr>
              <w:t>Option 2:</w:t>
            </w:r>
          </w:p>
        </w:tc>
        <w:tc>
          <w:tcPr>
            <w:tcW w:w="4281" w:type="pct"/>
            <w:hideMark/>
          </w:tcPr>
          <w:p w14:paraId="40232AE2" w14:textId="77777777" w:rsidR="00606830" w:rsidRPr="00BA1772" w:rsidRDefault="00606830" w:rsidP="0049593C">
            <w:pPr>
              <w:keepNext/>
              <w:autoSpaceDE w:val="0"/>
              <w:autoSpaceDN w:val="0"/>
              <w:adjustRightInd w:val="0"/>
              <w:spacing w:before="240" w:after="60"/>
              <w:ind w:left="-74"/>
              <w:rPr>
                <w:rFonts w:eastAsia="Calibri"/>
                <w:bCs/>
              </w:rPr>
            </w:pPr>
            <w:r w:rsidRPr="00BA1772">
              <w:rPr>
                <w:rFonts w:eastAsia="Calibri"/>
                <w:b/>
              </w:rPr>
              <w:t xml:space="preserve">‘Introduce secondary legislation’ </w:t>
            </w:r>
            <w:r w:rsidRPr="00BA1772">
              <w:rPr>
                <w:rFonts w:eastAsia="Calibri"/>
                <w:bCs/>
              </w:rPr>
              <w:t>which will underpin the online display provision set out in the Food Hygiene Rating Act (Northern Ireland) 2016.</w:t>
            </w:r>
          </w:p>
          <w:p w14:paraId="117B8987" w14:textId="471FC74A" w:rsidR="00606830" w:rsidRPr="003B4C01" w:rsidRDefault="00606830" w:rsidP="003B4C01">
            <w:pPr>
              <w:keepNext/>
              <w:autoSpaceDE w:val="0"/>
              <w:autoSpaceDN w:val="0"/>
              <w:adjustRightInd w:val="0"/>
              <w:spacing w:before="240" w:after="60"/>
              <w:ind w:left="-74"/>
              <w:rPr>
                <w:rFonts w:eastAsia="Calibri"/>
                <w:b/>
              </w:rPr>
            </w:pPr>
            <w:r w:rsidRPr="00BA1772">
              <w:rPr>
                <w:rFonts w:eastAsia="Calibri"/>
                <w:bCs/>
              </w:rPr>
              <w:t>The</w:t>
            </w:r>
            <w:r>
              <w:rPr>
                <w:rFonts w:eastAsia="Calibri"/>
                <w:bCs/>
              </w:rPr>
              <w:t xml:space="preserve"> proposed</w:t>
            </w:r>
            <w:r w:rsidRPr="00BA1772">
              <w:rPr>
                <w:rFonts w:eastAsia="Calibri"/>
                <w:bCs/>
              </w:rPr>
              <w:t xml:space="preserve"> regulations will outline </w:t>
            </w:r>
            <w:r>
              <w:rPr>
                <w:rFonts w:eastAsia="Calibri"/>
                <w:bCs/>
              </w:rPr>
              <w:t xml:space="preserve">which </w:t>
            </w:r>
            <w:r w:rsidRPr="00BA1772">
              <w:rPr>
                <w:rFonts w:eastAsia="Calibri"/>
                <w:bCs/>
              </w:rPr>
              <w:t>food business</w:t>
            </w:r>
            <w:r>
              <w:rPr>
                <w:rFonts w:eastAsia="Calibri"/>
                <w:bCs/>
              </w:rPr>
              <w:t xml:space="preserve">es are within </w:t>
            </w:r>
            <w:r w:rsidRPr="00BA1772">
              <w:rPr>
                <w:rFonts w:eastAsia="Calibri"/>
                <w:bCs/>
              </w:rPr>
              <w:t>scope</w:t>
            </w:r>
            <w:r>
              <w:rPr>
                <w:rFonts w:eastAsia="Calibri"/>
                <w:bCs/>
              </w:rPr>
              <w:t xml:space="preserve"> of the food hygiene rating online display requirement, the location and manner of display</w:t>
            </w:r>
            <w:r w:rsidR="00392327">
              <w:rPr>
                <w:rFonts w:eastAsia="Calibri"/>
                <w:bCs/>
              </w:rPr>
              <w:t>,</w:t>
            </w:r>
            <w:r>
              <w:rPr>
                <w:rFonts w:eastAsia="Calibri"/>
                <w:bCs/>
              </w:rPr>
              <w:t xml:space="preserve"> and</w:t>
            </w:r>
            <w:r w:rsidRPr="00BA1772">
              <w:rPr>
                <w:rFonts w:eastAsia="Calibri"/>
                <w:bCs/>
              </w:rPr>
              <w:t xml:space="preserve"> </w:t>
            </w:r>
            <w:r>
              <w:rPr>
                <w:rFonts w:eastAsia="Calibri"/>
                <w:bCs/>
              </w:rPr>
              <w:t>the form that the food hygiene rating must take online.</w:t>
            </w:r>
            <w:r w:rsidR="00F47F38">
              <w:rPr>
                <w:rFonts w:eastAsia="Calibri"/>
                <w:bCs/>
              </w:rPr>
              <w:t xml:space="preserve"> </w:t>
            </w:r>
          </w:p>
        </w:tc>
      </w:tr>
    </w:tbl>
    <w:p w14:paraId="00D08CFF" w14:textId="77777777" w:rsidR="00606830" w:rsidRPr="00BA1772" w:rsidRDefault="00606830" w:rsidP="00606830">
      <w:pPr>
        <w:spacing w:before="240" w:after="60"/>
        <w:ind w:left="-74" w:hanging="284"/>
        <w:rPr>
          <w:bCs/>
          <w:color w:val="000000"/>
          <w:sz w:val="22"/>
          <w:szCs w:val="22"/>
        </w:rPr>
      </w:pPr>
    </w:p>
    <w:p w14:paraId="0F3652A9" w14:textId="77777777" w:rsidR="004175A1" w:rsidRPr="004175A1" w:rsidRDefault="004175A1" w:rsidP="006647A3">
      <w:pPr>
        <w:pStyle w:val="Heading3"/>
      </w:pPr>
      <w:r w:rsidRPr="004175A1">
        <w:t>Option 1 'Do nothing', not to put forth any secondary legislation or guidance’</w:t>
      </w:r>
    </w:p>
    <w:p w14:paraId="320DD6CA" w14:textId="77777777" w:rsidR="004175A1" w:rsidRPr="006658D3" w:rsidRDefault="004175A1" w:rsidP="004175A1">
      <w:pPr>
        <w:tabs>
          <w:tab w:val="left" w:pos="5790"/>
        </w:tabs>
        <w:rPr>
          <w:rFonts w:eastAsia="Calibri"/>
        </w:rPr>
      </w:pPr>
    </w:p>
    <w:p w14:paraId="57F5E277" w14:textId="3A8C0431" w:rsidR="004175A1" w:rsidRDefault="004175A1" w:rsidP="004F7BD9">
      <w:pPr>
        <w:pStyle w:val="ListParagraph"/>
        <w:numPr>
          <w:ilvl w:val="0"/>
          <w:numId w:val="7"/>
        </w:numPr>
        <w:tabs>
          <w:tab w:val="left" w:pos="5790"/>
        </w:tabs>
      </w:pPr>
      <w:r w:rsidRPr="00054C2F">
        <w:rPr>
          <w:rFonts w:eastAsia="Calibri"/>
        </w:rPr>
        <w:t>This option is not appropriate as it would not be possible to introduce the online display provision within the Act without the secondary legislation to underpin it</w:t>
      </w:r>
      <w:r w:rsidR="00EC3ED1">
        <w:rPr>
          <w:rFonts w:eastAsia="Calibri"/>
        </w:rPr>
        <w:t xml:space="preserve">, </w:t>
      </w:r>
      <w:r w:rsidR="00EC3ED1" w:rsidRPr="006A0631">
        <w:rPr>
          <w:rFonts w:eastAsia="Calibri"/>
        </w:rPr>
        <w:t xml:space="preserve">a </w:t>
      </w:r>
      <w:r w:rsidR="00EC3ED1" w:rsidRPr="006A0631">
        <w:rPr>
          <w:rFonts w:eastAsia="Arial" w:cs="Arial"/>
          <w:color w:val="000000" w:themeColor="text1"/>
        </w:rPr>
        <w:t>requirement which was introduced at the committee stage of the Food Hygiene Rating Bill at the request of the members</w:t>
      </w:r>
      <w:r w:rsidRPr="006A0631">
        <w:rPr>
          <w:rFonts w:eastAsia="Calibri"/>
        </w:rPr>
        <w:t>.</w:t>
      </w:r>
      <w:r w:rsidRPr="00054C2F">
        <w:rPr>
          <w:rFonts w:eastAsia="Calibri"/>
        </w:rPr>
        <w:t xml:space="preserve"> </w:t>
      </w:r>
      <w:r w:rsidR="002644D2">
        <w:rPr>
          <w:rFonts w:eastAsia="Calibri"/>
        </w:rPr>
        <w:t xml:space="preserve">Furthermore, this option would leave the </w:t>
      </w:r>
      <w:r w:rsidR="00F9157F">
        <w:rPr>
          <w:rFonts w:eastAsia="Calibri"/>
        </w:rPr>
        <w:t xml:space="preserve">aforementioned asymmetric </w:t>
      </w:r>
      <w:r w:rsidR="005333AC">
        <w:rPr>
          <w:rFonts w:eastAsia="Calibri"/>
        </w:rPr>
        <w:t xml:space="preserve">information problem </w:t>
      </w:r>
      <w:r w:rsidR="005333AC" w:rsidRPr="009A1066">
        <w:rPr>
          <w:rFonts w:eastAsia="Calibri"/>
        </w:rPr>
        <w:t>unaddressed</w:t>
      </w:r>
      <w:r w:rsidR="000C15EB" w:rsidRPr="009A1066">
        <w:rPr>
          <w:rFonts w:eastAsia="Calibri"/>
        </w:rPr>
        <w:t xml:space="preserve"> in online settings</w:t>
      </w:r>
      <w:r w:rsidR="000024C7" w:rsidRPr="009A1066">
        <w:rPr>
          <w:rFonts w:eastAsia="Calibri"/>
        </w:rPr>
        <w:t>,</w:t>
      </w:r>
      <w:r w:rsidR="00FF1A94" w:rsidRPr="009A1066">
        <w:rPr>
          <w:rFonts w:eastAsia="Calibri"/>
        </w:rPr>
        <w:t xml:space="preserve"> possibly leading to</w:t>
      </w:r>
      <w:r w:rsidR="00BF2E1F" w:rsidRPr="009A1066">
        <w:rPr>
          <w:rFonts w:asciiTheme="minorBidi" w:eastAsia="Arial" w:hAnsiTheme="minorBidi" w:cstheme="minorBidi"/>
          <w:lang w:val="en-US"/>
        </w:rPr>
        <w:t xml:space="preserve"> consumers </w:t>
      </w:r>
      <w:r w:rsidR="005A70ED">
        <w:rPr>
          <w:rFonts w:asciiTheme="minorBidi" w:eastAsia="Arial" w:hAnsiTheme="minorBidi" w:cstheme="minorBidi"/>
          <w:lang w:val="en-US"/>
        </w:rPr>
        <w:t>ordering food from</w:t>
      </w:r>
      <w:r w:rsidR="00BF2E1F" w:rsidRPr="009A1066">
        <w:rPr>
          <w:rFonts w:asciiTheme="minorBidi" w:eastAsia="Arial" w:hAnsiTheme="minorBidi" w:cstheme="minorBidi"/>
          <w:lang w:val="en-US"/>
        </w:rPr>
        <w:t xml:space="preserve"> poorly compliant businesses more than they would if they were aware of these standards</w:t>
      </w:r>
      <w:r w:rsidR="00BF2E1F" w:rsidRPr="00FB1C6D">
        <w:rPr>
          <w:rFonts w:asciiTheme="minorBidi" w:eastAsia="Arial" w:hAnsiTheme="minorBidi" w:cstheme="minorBidi"/>
          <w:lang w:val="en-US"/>
        </w:rPr>
        <w:t xml:space="preserve">, </w:t>
      </w:r>
      <w:r w:rsidR="007141BE">
        <w:rPr>
          <w:rFonts w:asciiTheme="minorBidi" w:eastAsia="Arial" w:hAnsiTheme="minorBidi" w:cstheme="minorBidi"/>
          <w:lang w:val="en-US"/>
        </w:rPr>
        <w:t>in</w:t>
      </w:r>
      <w:r w:rsidR="0023020F">
        <w:rPr>
          <w:rFonts w:asciiTheme="minorBidi" w:eastAsia="Arial" w:hAnsiTheme="minorBidi" w:cstheme="minorBidi"/>
          <w:lang w:val="en-US"/>
        </w:rPr>
        <w:t>creas</w:t>
      </w:r>
      <w:r w:rsidR="002E29D1">
        <w:rPr>
          <w:rFonts w:asciiTheme="minorBidi" w:eastAsia="Arial" w:hAnsiTheme="minorBidi" w:cstheme="minorBidi"/>
          <w:lang w:val="en-US"/>
        </w:rPr>
        <w:t xml:space="preserve">ing </w:t>
      </w:r>
      <w:r w:rsidR="00BF2E1F" w:rsidRPr="00FB1C6D">
        <w:rPr>
          <w:rFonts w:asciiTheme="minorBidi" w:eastAsia="Arial" w:hAnsiTheme="minorBidi" w:cstheme="minorBidi"/>
          <w:lang w:val="en-US"/>
        </w:rPr>
        <w:t>public health risks and associated societal costs</w:t>
      </w:r>
      <w:r w:rsidR="0032711B">
        <w:rPr>
          <w:rFonts w:eastAsia="Calibri"/>
          <w:lang w:val="en-US"/>
        </w:rPr>
        <w:t>, such as</w:t>
      </w:r>
      <w:r w:rsidR="00903EB8">
        <w:rPr>
          <w:rFonts w:eastAsia="Calibri"/>
          <w:lang w:val="en-US"/>
        </w:rPr>
        <w:t xml:space="preserve"> lost productivity </w:t>
      </w:r>
      <w:r w:rsidR="0032711B">
        <w:rPr>
          <w:rFonts w:eastAsia="Calibri"/>
          <w:lang w:val="en-US"/>
        </w:rPr>
        <w:t xml:space="preserve">for businesses </w:t>
      </w:r>
      <w:r w:rsidR="00903EB8">
        <w:rPr>
          <w:rFonts w:eastAsia="Calibri"/>
          <w:lang w:val="en-US"/>
        </w:rPr>
        <w:t xml:space="preserve">and </w:t>
      </w:r>
      <w:r w:rsidR="0032711B">
        <w:rPr>
          <w:rFonts w:eastAsia="Calibri"/>
          <w:lang w:val="en-US"/>
        </w:rPr>
        <w:t>increased</w:t>
      </w:r>
      <w:r w:rsidR="00903EB8">
        <w:rPr>
          <w:rFonts w:eastAsia="Calibri"/>
          <w:lang w:val="en-US"/>
        </w:rPr>
        <w:t xml:space="preserve"> public health burdens for </w:t>
      </w:r>
      <w:r w:rsidR="0032711B">
        <w:rPr>
          <w:rFonts w:eastAsia="Calibri"/>
          <w:lang w:val="en-US"/>
        </w:rPr>
        <w:t>public</w:t>
      </w:r>
      <w:r w:rsidR="00903EB8">
        <w:rPr>
          <w:rFonts w:eastAsia="Calibri"/>
          <w:lang w:val="en-US"/>
        </w:rPr>
        <w:t xml:space="preserve"> services</w:t>
      </w:r>
      <w:r w:rsidR="003A7B59">
        <w:rPr>
          <w:rFonts w:eastAsia="Calibri"/>
        </w:rPr>
        <w:t>.</w:t>
      </w:r>
      <w:r w:rsidRPr="004F7BD9">
        <w:rPr>
          <w:rFonts w:eastAsia="Calibri"/>
        </w:rPr>
        <w:t xml:space="preserve"> </w:t>
      </w:r>
      <w:r w:rsidR="00F3213D">
        <w:rPr>
          <w:rFonts w:eastAsia="Calibri"/>
        </w:rPr>
        <w:t xml:space="preserve">For the purposes </w:t>
      </w:r>
      <w:r w:rsidR="00856407">
        <w:rPr>
          <w:rFonts w:eastAsia="Calibri"/>
        </w:rPr>
        <w:t>of this impact assessment and the options appraisal</w:t>
      </w:r>
      <w:r w:rsidR="00EC25AC">
        <w:rPr>
          <w:rFonts w:eastAsia="Calibri"/>
        </w:rPr>
        <w:t xml:space="preserve"> </w:t>
      </w:r>
      <w:r w:rsidR="00D100BB">
        <w:rPr>
          <w:rFonts w:eastAsia="Calibri"/>
        </w:rPr>
        <w:t>contained within</w:t>
      </w:r>
      <w:r w:rsidR="0073211C">
        <w:rPr>
          <w:rFonts w:eastAsia="Calibri"/>
        </w:rPr>
        <w:t>, i</w:t>
      </w:r>
      <w:r w:rsidRPr="004F7BD9">
        <w:rPr>
          <w:rFonts w:eastAsia="Calibri"/>
        </w:rPr>
        <w:t>t</w:t>
      </w:r>
      <w:r w:rsidRPr="00054C2F">
        <w:rPr>
          <w:rFonts w:eastAsia="Calibri"/>
        </w:rPr>
        <w:t xml:space="preserve"> is considered that </w:t>
      </w:r>
      <w:r w:rsidRPr="0096787C">
        <w:rPr>
          <w:rFonts w:eastAsia="Calibri"/>
        </w:rPr>
        <w:t>there are no cost and no benefits to be gained from this option</w:t>
      </w:r>
      <w:r w:rsidRPr="0096787C">
        <w:t xml:space="preserve">.  This is the baseline to which other alternatives </w:t>
      </w:r>
      <w:r w:rsidRPr="00104ED0">
        <w:t>are compared.</w:t>
      </w:r>
      <w:r w:rsidR="00843599">
        <w:br/>
      </w:r>
    </w:p>
    <w:p w14:paraId="033FB6A1" w14:textId="77777777" w:rsidR="00843599" w:rsidRPr="00843599" w:rsidRDefault="00843599" w:rsidP="00843599">
      <w:pPr>
        <w:spacing w:after="240"/>
        <w:rPr>
          <w:rFonts w:eastAsia="Calibri"/>
          <w:b/>
          <w:bCs/>
          <w:color w:val="006F51"/>
        </w:rPr>
      </w:pPr>
      <w:r w:rsidRPr="00843599">
        <w:rPr>
          <w:rFonts w:eastAsia="Calibri"/>
          <w:b/>
          <w:bCs/>
          <w:color w:val="006F51"/>
        </w:rPr>
        <w:t>Preferred option</w:t>
      </w:r>
    </w:p>
    <w:p w14:paraId="3E4DF470" w14:textId="77777777" w:rsidR="00843599" w:rsidRPr="00843599" w:rsidRDefault="00843599" w:rsidP="006647A3">
      <w:pPr>
        <w:pStyle w:val="Heading3"/>
        <w:rPr>
          <w:rFonts w:eastAsia="Calibri"/>
        </w:rPr>
      </w:pPr>
      <w:r w:rsidRPr="00843599">
        <w:rPr>
          <w:rFonts w:eastAsia="Calibri"/>
        </w:rPr>
        <w:t xml:space="preserve">Option 2 ‘Introduce secondary legislation’ </w:t>
      </w:r>
    </w:p>
    <w:p w14:paraId="4A3F3A7A" w14:textId="77777777" w:rsidR="00843599" w:rsidRDefault="00843599" w:rsidP="00843599">
      <w:pPr>
        <w:tabs>
          <w:tab w:val="left" w:pos="5790"/>
        </w:tabs>
        <w:rPr>
          <w:rFonts w:eastAsia="Calibri"/>
        </w:rPr>
      </w:pPr>
    </w:p>
    <w:p w14:paraId="4F85C2D1" w14:textId="6A361A86" w:rsidR="00800355" w:rsidRPr="00843599" w:rsidRDefault="00104ED0" w:rsidP="00843599">
      <w:pPr>
        <w:pStyle w:val="ListParagraph"/>
        <w:numPr>
          <w:ilvl w:val="0"/>
          <w:numId w:val="7"/>
        </w:numPr>
        <w:tabs>
          <w:tab w:val="left" w:pos="5790"/>
        </w:tabs>
        <w:rPr>
          <w:rFonts w:eastAsia="Calibri"/>
        </w:rPr>
      </w:pPr>
      <w:r w:rsidRPr="00722034">
        <w:rPr>
          <w:rFonts w:eastAsia="Calibri"/>
        </w:rPr>
        <w:t>This option is preferred as it provides the only viable option for achieving the policy objective by ensuring the effective implementation of the online display provision within the Act</w:t>
      </w:r>
      <w:r w:rsidR="00750CA6">
        <w:rPr>
          <w:color w:val="000000" w:themeColor="text1"/>
        </w:rPr>
        <w:t xml:space="preserve">. </w:t>
      </w:r>
      <w:r w:rsidR="007F649E">
        <w:rPr>
          <w:color w:val="000000" w:themeColor="text1"/>
        </w:rPr>
        <w:t xml:space="preserve">This will </w:t>
      </w:r>
      <w:r w:rsidRPr="2CBE60CD" w:rsidDel="00750CA6">
        <w:rPr>
          <w:color w:val="000000" w:themeColor="text1"/>
        </w:rPr>
        <w:t>a</w:t>
      </w:r>
      <w:r w:rsidRPr="2CBE60CD">
        <w:rPr>
          <w:color w:val="000000" w:themeColor="text1"/>
        </w:rPr>
        <w:t>llow the full scope of the Act with regard to statutory display of a business’ food hygiene rating to be implemented</w:t>
      </w:r>
      <w:r w:rsidR="00C325BC">
        <w:rPr>
          <w:color w:val="000000" w:themeColor="text1"/>
        </w:rPr>
        <w:t xml:space="preserve"> </w:t>
      </w:r>
      <w:r w:rsidR="00C325BC" w:rsidRPr="006A0631">
        <w:rPr>
          <w:color w:val="000000" w:themeColor="text1"/>
        </w:rPr>
        <w:t>and</w:t>
      </w:r>
      <w:r w:rsidR="003D6955" w:rsidRPr="006A0631">
        <w:rPr>
          <w:color w:val="000000" w:themeColor="text1"/>
        </w:rPr>
        <w:t xml:space="preserve"> </w:t>
      </w:r>
      <w:r w:rsidR="007F649E">
        <w:rPr>
          <w:color w:val="000000" w:themeColor="text1"/>
        </w:rPr>
        <w:t>fulfil</w:t>
      </w:r>
      <w:r w:rsidR="003D6955" w:rsidRPr="006A0631">
        <w:rPr>
          <w:color w:val="000000" w:themeColor="text1"/>
        </w:rPr>
        <w:t xml:space="preserve"> the request of the </w:t>
      </w:r>
      <w:r w:rsidR="00EC6D47" w:rsidRPr="006A0631">
        <w:rPr>
          <w:color w:val="000000" w:themeColor="text1"/>
        </w:rPr>
        <w:t>Health Committee of the NI Assembly</w:t>
      </w:r>
      <w:r w:rsidRPr="006A0631">
        <w:rPr>
          <w:color w:val="000000" w:themeColor="text1"/>
        </w:rPr>
        <w:t>.</w:t>
      </w:r>
      <w:r w:rsidRPr="2CBE60CD">
        <w:rPr>
          <w:color w:val="000000" w:themeColor="text1"/>
        </w:rPr>
        <w:t xml:space="preserve"> This option would also address the asymmetry of information currently experienced by consumers in online settings, leading to better-informed food ordering choices by consumers, and making businesses more accountable to their customers. With </w:t>
      </w:r>
      <w:r w:rsidRPr="00722034">
        <w:rPr>
          <w:rFonts w:eastAsia="Calibri"/>
          <w:color w:val="000000" w:themeColor="text1"/>
        </w:rPr>
        <w:t>c</w:t>
      </w:r>
      <w:r w:rsidRPr="00722034">
        <w:rPr>
          <w:rFonts w:eastAsia="Calibri" w:cs="Arial"/>
          <w:lang w:val="en-US"/>
        </w:rPr>
        <w:t>onsumers becoming more aware of businesses’ ratings when ordering food online, a shift away from ordering from non-compliant businesses to more compliant businesses can be expected (an assumption based on consumer-claimed behaviours</w:t>
      </w:r>
      <w:r>
        <w:rPr>
          <w:rStyle w:val="FootnoteReference"/>
          <w:rFonts w:eastAsia="Calibri"/>
          <w:lang w:val="en-US"/>
        </w:rPr>
        <w:footnoteReference w:id="12"/>
      </w:r>
      <w:r w:rsidRPr="00722034">
        <w:rPr>
          <w:rFonts w:eastAsia="Calibri" w:cs="Arial"/>
          <w:lang w:val="en-US"/>
        </w:rPr>
        <w:t>), further reducing the prevalence of foodborne disease and associated societal costs.</w:t>
      </w:r>
      <w:r w:rsidRPr="00722034">
        <w:rPr>
          <w:rFonts w:asciiTheme="minorBidi" w:eastAsia="Arial" w:hAnsiTheme="minorBidi" w:cstheme="minorBidi"/>
          <w:lang w:val="en-US"/>
        </w:rPr>
        <w:t xml:space="preserve"> </w:t>
      </w:r>
    </w:p>
    <w:p w14:paraId="3CC89C8F" w14:textId="511FBDD4" w:rsidR="00800355" w:rsidRDefault="00800355" w:rsidP="006647A3">
      <w:pPr>
        <w:pStyle w:val="Heading3"/>
        <w:rPr>
          <w:rFonts w:eastAsia="Calibri"/>
        </w:rPr>
      </w:pPr>
      <w:r w:rsidRPr="00800355">
        <w:rPr>
          <w:rFonts w:eastAsia="Calibri"/>
        </w:rPr>
        <w:t>Option 2 Implementation Plan</w:t>
      </w:r>
    </w:p>
    <w:p w14:paraId="2E0DE122" w14:textId="29A6A77F" w:rsidR="000C7B62" w:rsidRPr="005613A6" w:rsidRDefault="000C7B62" w:rsidP="004F7BD9">
      <w:pPr>
        <w:pStyle w:val="ListParagraph"/>
        <w:numPr>
          <w:ilvl w:val="0"/>
          <w:numId w:val="7"/>
        </w:numPr>
        <w:spacing w:before="240" w:after="60"/>
        <w:rPr>
          <w:rFonts w:eastAsiaTheme="majorEastAsia"/>
        </w:rPr>
      </w:pPr>
      <w:r w:rsidRPr="005613A6">
        <w:rPr>
          <w:rFonts w:eastAsia="Calibri"/>
        </w:rPr>
        <w:t xml:space="preserve">The aim is </w:t>
      </w:r>
      <w:r w:rsidRPr="2CBE60CD">
        <w:rPr>
          <w:rFonts w:eastAsia="Calibri"/>
        </w:rPr>
        <w:t xml:space="preserve">to introduce the statutory rule in </w:t>
      </w:r>
      <w:r w:rsidR="00BF4FBA" w:rsidRPr="2CBE60CD">
        <w:rPr>
          <w:rFonts w:eastAsia="Calibri"/>
        </w:rPr>
        <w:t>spring 2023.</w:t>
      </w:r>
      <w:r w:rsidRPr="2CBE60CD">
        <w:rPr>
          <w:rFonts w:eastAsia="Calibri"/>
        </w:rPr>
        <w:t xml:space="preserve"> Given that the offences already exist in section 10 of the Act once there can be no transitional arrangements made in terms of </w:t>
      </w:r>
      <w:r w:rsidRPr="005613A6">
        <w:rPr>
          <w:rFonts w:eastAsia="Calibri"/>
        </w:rPr>
        <w:t xml:space="preserve">delaying offences. The same is true of fixed penalty notice provisions in section 11 of the Act. </w:t>
      </w:r>
      <w:r w:rsidRPr="005613A6">
        <w:rPr>
          <w:rFonts w:eastAsiaTheme="majorEastAsia"/>
        </w:rPr>
        <w:t xml:space="preserve">As with the introduction of the Act and implementing regulations, we </w:t>
      </w:r>
      <w:r w:rsidRPr="005613A6">
        <w:rPr>
          <w:rFonts w:eastAsiaTheme="majorEastAsia"/>
        </w:rPr>
        <w:lastRenderedPageBreak/>
        <w:t xml:space="preserve">propose that </w:t>
      </w:r>
      <w:r w:rsidR="000312B3">
        <w:rPr>
          <w:rFonts w:eastAsiaTheme="majorEastAsia"/>
        </w:rPr>
        <w:t>d</w:t>
      </w:r>
      <w:r w:rsidRPr="005613A6">
        <w:rPr>
          <w:rFonts w:eastAsiaTheme="majorEastAsia"/>
        </w:rPr>
        <w:t xml:space="preserve">istrict </w:t>
      </w:r>
      <w:r w:rsidR="000312B3">
        <w:rPr>
          <w:rFonts w:eastAsiaTheme="majorEastAsia"/>
        </w:rPr>
        <w:t>c</w:t>
      </w:r>
      <w:r w:rsidRPr="005613A6">
        <w:rPr>
          <w:rFonts w:eastAsiaTheme="majorEastAsia"/>
        </w:rPr>
        <w:t>ouncils adopt a graduated approach towards requiring businesses to comply with the proposed regulations.</w:t>
      </w:r>
      <w:r w:rsidR="004F7BD9">
        <w:rPr>
          <w:rFonts w:eastAsiaTheme="majorEastAsia"/>
        </w:rPr>
        <w:br/>
      </w:r>
    </w:p>
    <w:p w14:paraId="5F1238CB" w14:textId="6B3CE90D" w:rsidR="000C7B62" w:rsidRPr="004F7BD9" w:rsidRDefault="000C7B62" w:rsidP="005613A6">
      <w:pPr>
        <w:pStyle w:val="ListParagraph"/>
        <w:numPr>
          <w:ilvl w:val="0"/>
          <w:numId w:val="7"/>
        </w:numPr>
        <w:spacing w:before="240" w:after="60"/>
        <w:rPr>
          <w:rFonts w:eastAsia="Calibri"/>
        </w:rPr>
      </w:pPr>
      <w:r w:rsidRPr="005613A6">
        <w:rPr>
          <w:rFonts w:eastAsia="SimSun"/>
        </w:rPr>
        <w:t xml:space="preserve">All 11 </w:t>
      </w:r>
      <w:r w:rsidR="000312B3">
        <w:rPr>
          <w:rFonts w:eastAsia="SimSun"/>
        </w:rPr>
        <w:t>d</w:t>
      </w:r>
      <w:r w:rsidRPr="005613A6">
        <w:rPr>
          <w:rFonts w:eastAsia="SimSun"/>
        </w:rPr>
        <w:t xml:space="preserve">istrict </w:t>
      </w:r>
      <w:r w:rsidR="000312B3">
        <w:rPr>
          <w:rFonts w:eastAsia="SimSun"/>
        </w:rPr>
        <w:t>c</w:t>
      </w:r>
      <w:r w:rsidRPr="005613A6">
        <w:rPr>
          <w:rFonts w:eastAsia="SimSun"/>
        </w:rPr>
        <w:t>ouncils will be responsible for operating the statutory food hygiene rating scheme and for</w:t>
      </w:r>
      <w:r w:rsidRPr="00AB3938">
        <w:rPr>
          <w:rFonts w:eastAsia="SimSun"/>
          <w:lang w:eastAsia="zh-CN"/>
        </w:rPr>
        <w:t xml:space="preserve"> monitoring compliance of food businesses with the provisions of the Act and associated secondary legislation that relate to them including the online display provision.</w:t>
      </w:r>
      <w:r w:rsidR="004F7BD9">
        <w:rPr>
          <w:rFonts w:eastAsia="SimSun"/>
        </w:rPr>
        <w:br/>
      </w:r>
    </w:p>
    <w:p w14:paraId="02125BB2" w14:textId="7B4FD183" w:rsidR="000C7B62" w:rsidRPr="004F7BD9" w:rsidRDefault="000C7B62" w:rsidP="004F7BD9">
      <w:pPr>
        <w:pStyle w:val="ListParagraph"/>
        <w:numPr>
          <w:ilvl w:val="0"/>
          <w:numId w:val="7"/>
        </w:numPr>
        <w:tabs>
          <w:tab w:val="left" w:pos="7920"/>
        </w:tabs>
        <w:spacing w:before="240" w:after="60"/>
        <w:rPr>
          <w:rStyle w:val="eop"/>
          <w:rFonts w:eastAsia="SimSun"/>
        </w:rPr>
      </w:pPr>
      <w:r w:rsidRPr="00DB4321">
        <w:rPr>
          <w:rFonts w:eastAsia="SimSun"/>
          <w:lang w:eastAsia="zh-CN"/>
        </w:rPr>
        <w:t xml:space="preserve">The FSA is responsible for the administration of the statutory scheme and providing resources and operational support to local authorities operating it.  </w:t>
      </w:r>
      <w:r w:rsidRPr="00DB4321">
        <w:rPr>
          <w:rFonts w:eastAsiaTheme="majorEastAsia"/>
          <w:color w:val="000000"/>
          <w:position w:val="2"/>
          <w:shd w:val="clear" w:color="auto" w:fill="FFFFFF" w:themeFill="background1"/>
        </w:rPr>
        <w:t>To support the proposed legislative </w:t>
      </w:r>
      <w:r w:rsidRPr="00DB4321">
        <w:rPr>
          <w:rFonts w:eastAsiaTheme="minorEastAsia"/>
          <w:color w:val="000000"/>
          <w:position w:val="2"/>
          <w:shd w:val="clear" w:color="auto" w:fill="FFFFFF" w:themeFill="background1"/>
        </w:rPr>
        <w:t>requirements</w:t>
      </w:r>
      <w:r w:rsidRPr="00DB4321">
        <w:rPr>
          <w:rFonts w:eastAsiaTheme="majorEastAsia"/>
          <w:color w:val="000000"/>
          <w:position w:val="2"/>
          <w:shd w:val="clear" w:color="auto" w:fill="FFFFFF" w:themeFill="background1"/>
        </w:rPr>
        <w:t xml:space="preserve">, FSA </w:t>
      </w:r>
      <w:r w:rsidR="004607C3">
        <w:rPr>
          <w:rFonts w:eastAsiaTheme="majorEastAsia"/>
          <w:color w:val="000000"/>
          <w:position w:val="2"/>
          <w:shd w:val="clear" w:color="auto" w:fill="FFFFFF" w:themeFill="background1"/>
        </w:rPr>
        <w:t xml:space="preserve">has </w:t>
      </w:r>
      <w:r w:rsidRPr="00DB4321">
        <w:rPr>
          <w:rFonts w:eastAsiaTheme="majorEastAsia"/>
          <w:color w:val="000000"/>
          <w:position w:val="2"/>
          <w:shd w:val="clear" w:color="auto" w:fill="FFFFFF" w:themeFill="background1"/>
        </w:rPr>
        <w:t>develop</w:t>
      </w:r>
      <w:r w:rsidR="004607C3">
        <w:rPr>
          <w:rFonts w:eastAsiaTheme="majorEastAsia"/>
          <w:color w:val="000000"/>
          <w:position w:val="2"/>
          <w:shd w:val="clear" w:color="auto" w:fill="FFFFFF" w:themeFill="background1"/>
        </w:rPr>
        <w:t>ed</w:t>
      </w:r>
      <w:r w:rsidRPr="00DB4321">
        <w:rPr>
          <w:rFonts w:eastAsiaTheme="majorEastAsia"/>
          <w:color w:val="000000"/>
          <w:position w:val="2"/>
          <w:shd w:val="clear" w:color="auto" w:fill="FFFFFF" w:themeFill="background1"/>
        </w:rPr>
        <w:t xml:space="preserve"> a range of freely accessible digital icons which will deliver improved digital imagery that support the FHRS brand and meet new accessibility requirements. </w:t>
      </w:r>
      <w:hyperlink r:id="rId13" w:history="1">
        <w:r w:rsidRPr="00FF2986">
          <w:rPr>
            <w:rStyle w:val="Hyperlink"/>
            <w:rFonts w:eastAsiaTheme="majorEastAsia"/>
            <w:color w:val="2F5496" w:themeColor="accent5" w:themeShade="BF"/>
            <w:shd w:val="clear" w:color="auto" w:fill="FFFFFF" w:themeFill="background1"/>
          </w:rPr>
          <w:t>Guidance</w:t>
        </w:r>
      </w:hyperlink>
      <w:r w:rsidRPr="00DB4321">
        <w:rPr>
          <w:rStyle w:val="normaltextrun"/>
          <w:rFonts w:eastAsiaTheme="majorEastAsia"/>
          <w:color w:val="000000"/>
          <w:shd w:val="clear" w:color="auto" w:fill="FFFFFF" w:themeFill="background1"/>
        </w:rPr>
        <w:t xml:space="preserve"> </w:t>
      </w:r>
      <w:r w:rsidR="001E7C13">
        <w:rPr>
          <w:rStyle w:val="normaltextrun"/>
          <w:rFonts w:eastAsiaTheme="majorEastAsia"/>
          <w:color w:val="000000"/>
          <w:shd w:val="clear" w:color="auto" w:fill="FFFFFF" w:themeFill="background1"/>
        </w:rPr>
        <w:t>has been</w:t>
      </w:r>
      <w:r w:rsidRPr="00DB4321">
        <w:rPr>
          <w:rStyle w:val="normaltextrun"/>
          <w:rFonts w:eastAsiaTheme="majorEastAsia"/>
          <w:color w:val="000000"/>
          <w:shd w:val="clear" w:color="auto" w:fill="FFFFFF" w:themeFill="background1"/>
        </w:rPr>
        <w:t xml:space="preserve"> produced by FSA to assist food businesses in adding the FSA FHRS icons to their online platform. This will enable businesses to make the most of this new resource and aid compliance with proposed legislative requirements.</w:t>
      </w:r>
      <w:r w:rsidRPr="00DB4321">
        <w:rPr>
          <w:rStyle w:val="eop"/>
          <w:rFonts w:eastAsiaTheme="minorEastAsia"/>
          <w:color w:val="000000"/>
          <w:shd w:val="clear" w:color="auto" w:fill="FFFFFF"/>
        </w:rPr>
        <w:t> </w:t>
      </w:r>
      <w:r w:rsidR="004F7BD9">
        <w:rPr>
          <w:rStyle w:val="eop"/>
          <w:rFonts w:eastAsiaTheme="minorEastAsia"/>
          <w:color w:val="000000"/>
          <w:shd w:val="clear" w:color="auto" w:fill="FFFFFF"/>
        </w:rPr>
        <w:br/>
      </w:r>
    </w:p>
    <w:p w14:paraId="449F9722" w14:textId="0C292CA0" w:rsidR="000C7B62" w:rsidRPr="004F7BD9" w:rsidRDefault="000C7B62" w:rsidP="004F7BD9">
      <w:pPr>
        <w:pStyle w:val="ListParagraph"/>
        <w:numPr>
          <w:ilvl w:val="0"/>
          <w:numId w:val="7"/>
        </w:numPr>
        <w:shd w:val="clear" w:color="auto" w:fill="FFFFFF" w:themeFill="background1"/>
        <w:tabs>
          <w:tab w:val="left" w:pos="7920"/>
        </w:tabs>
        <w:spacing w:before="240" w:after="60"/>
      </w:pPr>
      <w:r w:rsidRPr="186F44AA">
        <w:rPr>
          <w:rFonts w:eastAsiaTheme="minorEastAsia"/>
          <w:color w:val="000000"/>
          <w:position w:val="2"/>
        </w:rPr>
        <w:t>At present food hygiene rating data published at </w:t>
      </w:r>
      <w:hyperlink r:id="rId14" w:tgtFrame="_blank" w:history="1">
        <w:r w:rsidRPr="186F44AA">
          <w:rPr>
            <w:rFonts w:eastAsiaTheme="minorEastAsia"/>
            <w:color w:val="0563C1"/>
            <w:position w:val="2"/>
            <w:u w:val="single"/>
          </w:rPr>
          <w:t>www.food.gov.uk/ratings</w:t>
        </w:r>
      </w:hyperlink>
      <w:r w:rsidRPr="186F44AA">
        <w:rPr>
          <w:rFonts w:eastAsiaTheme="minorEastAsia"/>
          <w:color w:val="000000"/>
          <w:position w:val="2"/>
        </w:rPr>
        <w:t> are available via an application programming interface (API) in XML and JSON formats. This is a free service and guidance for developers is available.</w:t>
      </w:r>
      <w:r w:rsidRPr="00DB4321">
        <w:rPr>
          <w:lang w:val="en-US"/>
        </w:rPr>
        <w:t xml:space="preserve">​ </w:t>
      </w:r>
      <w:r w:rsidRPr="186F44AA">
        <w:rPr>
          <w:rFonts w:eastAsiaTheme="minorEastAsia"/>
          <w:color w:val="000000"/>
          <w:position w:val="2"/>
        </w:rPr>
        <w:t>The API allows developers access to the underlying food hygiene rating data published at </w:t>
      </w:r>
      <w:hyperlink r:id="rId15" w:tgtFrame="_blank" w:history="1">
        <w:r w:rsidRPr="186F44AA">
          <w:rPr>
            <w:rFonts w:eastAsiaTheme="minorEastAsia"/>
            <w:color w:val="0563C1"/>
            <w:position w:val="2"/>
            <w:u w:val="single"/>
          </w:rPr>
          <w:t>www.food.gov.uk/ratings</w:t>
        </w:r>
      </w:hyperlink>
      <w:r w:rsidRPr="186F44AA">
        <w:rPr>
          <w:rFonts w:eastAsiaTheme="minorEastAsia"/>
          <w:color w:val="000000"/>
          <w:position w:val="2"/>
        </w:rPr>
        <w:t>. Developers can query XML files to return the geocoded data and the data are updated daily.</w:t>
      </w:r>
      <w:r w:rsidRPr="00DB4321">
        <w:rPr>
          <w:lang w:val="en-US"/>
        </w:rPr>
        <w:t>​</w:t>
      </w:r>
      <w:r w:rsidRPr="00DB4321">
        <w:t xml:space="preserve"> FSA are currently engaged with online platforms to find out how they use this data. As a result of this engagement workstreams are being progressed to make the API more robust and easier for businesses to use.</w:t>
      </w:r>
      <w:r w:rsidR="004F7BD9">
        <w:br/>
      </w:r>
    </w:p>
    <w:p w14:paraId="49C25903" w14:textId="6A18D997" w:rsidR="008351C6" w:rsidRDefault="000C7B62" w:rsidP="004F7BD9">
      <w:pPr>
        <w:pStyle w:val="ListParagraph"/>
        <w:numPr>
          <w:ilvl w:val="0"/>
          <w:numId w:val="7"/>
        </w:numPr>
        <w:spacing w:before="240" w:after="60"/>
        <w:rPr>
          <w:rFonts w:eastAsia="Calibri"/>
          <w:lang w:val="en-US"/>
        </w:rPr>
      </w:pPr>
      <w:r w:rsidRPr="186F44AA">
        <w:rPr>
          <w:lang w:val="en-US"/>
        </w:rPr>
        <w:t xml:space="preserve">FSA </w:t>
      </w:r>
      <w:r w:rsidR="003530D7" w:rsidRPr="186F44AA">
        <w:rPr>
          <w:lang w:val="en-US"/>
        </w:rPr>
        <w:t>have been</w:t>
      </w:r>
      <w:r w:rsidRPr="186F44AA">
        <w:rPr>
          <w:lang w:val="en-US"/>
        </w:rPr>
        <w:t xml:space="preserve"> engaging with trade associations, online chain establishments and delivery platforms on the key proposals within the draft legislation. The feedback gained from this engagement </w:t>
      </w:r>
      <w:r w:rsidR="00536A24">
        <w:rPr>
          <w:lang w:val="en-US"/>
        </w:rPr>
        <w:t>has been</w:t>
      </w:r>
      <w:r w:rsidRPr="186F44AA">
        <w:rPr>
          <w:lang w:val="en-US"/>
        </w:rPr>
        <w:t xml:space="preserve"> used to tailor the draft legislation and associated guidance so as to meet the needs of businesses now and in the future, whilst maintaining the policy objectives of the legislation.</w:t>
      </w:r>
    </w:p>
    <w:p w14:paraId="212ECE1A" w14:textId="55C0580E" w:rsidR="00CC08CD" w:rsidRPr="006647A3" w:rsidRDefault="00CC08CD" w:rsidP="006647A3">
      <w:pPr>
        <w:pStyle w:val="Heading2"/>
        <w:rPr>
          <w:rFonts w:eastAsia="Calibri"/>
          <w:b/>
          <w:bCs w:val="0"/>
        </w:rPr>
      </w:pPr>
      <w:r w:rsidRPr="006647A3">
        <w:rPr>
          <w:rFonts w:eastAsia="Calibri"/>
          <w:b/>
          <w:bCs w:val="0"/>
        </w:rPr>
        <w:t>M</w:t>
      </w:r>
      <w:r w:rsidR="006647A3" w:rsidRPr="006647A3">
        <w:rPr>
          <w:rFonts w:eastAsia="Calibri"/>
          <w:b/>
          <w:bCs w:val="0"/>
        </w:rPr>
        <w:t xml:space="preserve">onetised and non-monetised costs and benefits (option appraisal) </w:t>
      </w:r>
    </w:p>
    <w:p w14:paraId="656A27FD" w14:textId="77777777" w:rsidR="00CF329F" w:rsidRPr="00731890" w:rsidRDefault="00CF329F" w:rsidP="00CF329F">
      <w:pPr>
        <w:pStyle w:val="ListParagraph"/>
        <w:ind w:left="360"/>
        <w:rPr>
          <w:rFonts w:cs="Arial"/>
          <w:b/>
          <w:bCs/>
          <w:sz w:val="26"/>
          <w:szCs w:val="26"/>
          <w:lang w:eastAsia="en-GB"/>
        </w:rPr>
      </w:pPr>
    </w:p>
    <w:p w14:paraId="348D02D5" w14:textId="77777777" w:rsidR="00CF329F" w:rsidRPr="006B20DE" w:rsidRDefault="00CF329F" w:rsidP="006647A3">
      <w:pPr>
        <w:pStyle w:val="Heading3"/>
        <w:rPr>
          <w:szCs w:val="24"/>
        </w:rPr>
      </w:pPr>
      <w:r w:rsidRPr="006B20DE">
        <w:lastRenderedPageBreak/>
        <w:t xml:space="preserve">Option 1 'Do nothing', not to put forth any secondary legislation or guidance’ </w:t>
      </w:r>
    </w:p>
    <w:p w14:paraId="20B281C5" w14:textId="77777777" w:rsidR="00CF329F" w:rsidRPr="00BA1772" w:rsidRDefault="00CF329F" w:rsidP="004F7BD9">
      <w:pPr>
        <w:pStyle w:val="ListParagraph"/>
        <w:keepNext/>
        <w:keepLines/>
        <w:numPr>
          <w:ilvl w:val="0"/>
          <w:numId w:val="7"/>
        </w:numPr>
        <w:spacing w:before="240" w:after="60"/>
        <w:rPr>
          <w:rFonts w:eastAsia="Calibri"/>
          <w:b/>
          <w:bCs/>
          <w:color w:val="006F51"/>
          <w:u w:val="single"/>
        </w:rPr>
      </w:pPr>
      <w:r w:rsidRPr="00BA1772">
        <w:t>This option is not appropriate as it would be impossible to introduce the online display provision within the Act without the secondary legislation to underpin it.</w:t>
      </w:r>
      <w:r>
        <w:t xml:space="preserve"> </w:t>
      </w:r>
      <w:r w:rsidRPr="00BA1772">
        <w:rPr>
          <w:rFonts w:eastAsia="Arial"/>
          <w:lang w:val="en-US"/>
        </w:rPr>
        <w:t>Option 1 is the baseline against which all other options are appraised. We do not have any evidence that suggests that any important variables in the baseline will change significantly over time without intervention. Given this, the costs and benefits in the baseline across time assume current levels of consumer awareness, business compliance and instances of foodborne illn</w:t>
      </w:r>
      <w:r>
        <w:rPr>
          <w:rFonts w:eastAsia="Arial"/>
          <w:lang w:val="en-US"/>
        </w:rPr>
        <w:t>ess.</w:t>
      </w:r>
    </w:p>
    <w:p w14:paraId="7B29149D" w14:textId="77777777" w:rsidR="00CF329F" w:rsidRPr="006B20DE" w:rsidRDefault="00CF329F" w:rsidP="006647A3">
      <w:pPr>
        <w:pStyle w:val="Heading3"/>
        <w:rPr>
          <w:szCs w:val="24"/>
        </w:rPr>
      </w:pPr>
      <w:r w:rsidRPr="006B20DE">
        <w:t xml:space="preserve">Option 2 ‘Develop secondary legislation’ </w:t>
      </w:r>
    </w:p>
    <w:p w14:paraId="7208D81F" w14:textId="77777777" w:rsidR="00CF329F" w:rsidRDefault="00CF329F" w:rsidP="004F7BD9">
      <w:pPr>
        <w:pStyle w:val="ListParagraph"/>
        <w:keepNext/>
        <w:numPr>
          <w:ilvl w:val="0"/>
          <w:numId w:val="7"/>
        </w:numPr>
        <w:spacing w:before="240" w:after="60"/>
      </w:pPr>
      <w:r>
        <w:t>The cost-benefit analysis that follows assesses a range of different costs and benefits that we expect under option 2. These are:</w:t>
      </w:r>
    </w:p>
    <w:p w14:paraId="58581EA9" w14:textId="77777777" w:rsidR="00CF329F" w:rsidRPr="006B20DE" w:rsidRDefault="00CF329F" w:rsidP="006647A3">
      <w:pPr>
        <w:pStyle w:val="Heading3"/>
        <w:rPr>
          <w:rFonts w:eastAsia="Calibri"/>
        </w:rPr>
      </w:pPr>
      <w:r w:rsidRPr="006B20DE">
        <w:rPr>
          <w:rFonts w:eastAsia="Calibri"/>
        </w:rPr>
        <w:t>One-off costs and benefits</w:t>
      </w:r>
    </w:p>
    <w:p w14:paraId="479D2DE8" w14:textId="77777777" w:rsidR="00CF329F" w:rsidRPr="002352FB" w:rsidRDefault="00CF329F" w:rsidP="00CF329F">
      <w:pPr>
        <w:pStyle w:val="ListParagraph"/>
        <w:keepNext/>
        <w:spacing w:before="240" w:after="60"/>
        <w:ind w:left="1224"/>
        <w:rPr>
          <w:rFonts w:cs="Arial"/>
          <w:bCs/>
          <w:u w:val="single"/>
          <w:lang w:eastAsia="en-GB"/>
        </w:rPr>
      </w:pPr>
    </w:p>
    <w:p w14:paraId="73F7086D" w14:textId="0A7C9B36" w:rsidR="00CF329F" w:rsidRDefault="00CF329F" w:rsidP="00CF329F">
      <w:pPr>
        <w:pStyle w:val="ListParagraph"/>
        <w:keepNext/>
        <w:numPr>
          <w:ilvl w:val="0"/>
          <w:numId w:val="4"/>
        </w:numPr>
        <w:spacing w:before="240" w:after="60"/>
        <w:rPr>
          <w:rFonts w:cs="Arial"/>
          <w:bCs/>
          <w:lang w:eastAsia="en-GB"/>
        </w:rPr>
      </w:pPr>
      <w:r w:rsidRPr="002352FB">
        <w:rPr>
          <w:rFonts w:cs="Arial"/>
          <w:b/>
          <w:bCs/>
          <w:lang w:eastAsia="en-GB"/>
        </w:rPr>
        <w:t>Familiarisation costs:</w:t>
      </w:r>
      <w:r w:rsidRPr="002352FB">
        <w:rPr>
          <w:rFonts w:cs="Arial"/>
          <w:bCs/>
          <w:lang w:eastAsia="en-GB"/>
        </w:rPr>
        <w:t xml:space="preserve"> one-off costs for all affected stakeholders (business</w:t>
      </w:r>
      <w:r w:rsidR="00CA1868">
        <w:rPr>
          <w:rFonts w:cs="Arial"/>
          <w:bCs/>
          <w:lang w:eastAsia="en-GB"/>
        </w:rPr>
        <w:t>es</w:t>
      </w:r>
      <w:r w:rsidRPr="002352FB">
        <w:rPr>
          <w:rFonts w:cs="Arial"/>
          <w:bCs/>
          <w:lang w:eastAsia="en-GB"/>
        </w:rPr>
        <w:t xml:space="preserve"> and </w:t>
      </w:r>
      <w:r w:rsidR="00501C10">
        <w:rPr>
          <w:rFonts w:cs="Arial"/>
          <w:bCs/>
          <w:lang w:eastAsia="en-GB"/>
        </w:rPr>
        <w:t>d</w:t>
      </w:r>
      <w:r w:rsidRPr="002352FB">
        <w:rPr>
          <w:rFonts w:cs="Arial"/>
          <w:bCs/>
          <w:lang w:eastAsia="en-GB"/>
        </w:rPr>
        <w:t xml:space="preserve">istrict </w:t>
      </w:r>
      <w:r w:rsidR="00501C10">
        <w:rPr>
          <w:rFonts w:cs="Arial"/>
          <w:bCs/>
          <w:lang w:eastAsia="en-GB"/>
        </w:rPr>
        <w:t>c</w:t>
      </w:r>
      <w:r w:rsidRPr="002352FB">
        <w:rPr>
          <w:rFonts w:cs="Arial"/>
          <w:bCs/>
          <w:lang w:eastAsia="en-GB"/>
        </w:rPr>
        <w:t>ouncils) to acquaint themselves with the proposed changes;</w:t>
      </w:r>
    </w:p>
    <w:p w14:paraId="670B340F" w14:textId="1891C3C9" w:rsidR="00CF329F" w:rsidRPr="002352FB" w:rsidRDefault="00CF329F" w:rsidP="00CF329F">
      <w:pPr>
        <w:pStyle w:val="ListParagraph"/>
        <w:keepNext/>
        <w:numPr>
          <w:ilvl w:val="0"/>
          <w:numId w:val="4"/>
        </w:numPr>
        <w:spacing w:before="240" w:after="60"/>
        <w:rPr>
          <w:rFonts w:eastAsia="Calibri" w:cs="Arial"/>
          <w:lang w:eastAsia="en-GB"/>
        </w:rPr>
      </w:pPr>
      <w:r w:rsidRPr="002352FB">
        <w:rPr>
          <w:rFonts w:eastAsia="Calibri" w:cs="Arial"/>
          <w:b/>
          <w:bCs/>
        </w:rPr>
        <w:t>Informing businesses</w:t>
      </w:r>
      <w:r w:rsidRPr="002352FB">
        <w:rPr>
          <w:rFonts w:eastAsia="Calibri" w:cs="Arial"/>
          <w:bCs/>
        </w:rPr>
        <w:t>: one-off cost for</w:t>
      </w:r>
      <w:r w:rsidR="000651C1">
        <w:rPr>
          <w:rFonts w:eastAsia="Calibri" w:cs="Arial"/>
          <w:bCs/>
        </w:rPr>
        <w:t xml:space="preserve"> </w:t>
      </w:r>
      <w:r w:rsidR="00501C10">
        <w:rPr>
          <w:rFonts w:eastAsia="Calibri" w:cs="Arial"/>
          <w:bCs/>
        </w:rPr>
        <w:t>d</w:t>
      </w:r>
      <w:r w:rsidR="000651C1">
        <w:rPr>
          <w:rFonts w:eastAsia="Calibri" w:cs="Arial"/>
          <w:bCs/>
        </w:rPr>
        <w:t xml:space="preserve">istrict </w:t>
      </w:r>
      <w:r w:rsidR="00501C10">
        <w:rPr>
          <w:rFonts w:eastAsia="Calibri" w:cs="Arial"/>
          <w:bCs/>
        </w:rPr>
        <w:t>c</w:t>
      </w:r>
      <w:r w:rsidR="000651C1">
        <w:rPr>
          <w:rFonts w:eastAsia="Calibri" w:cs="Arial"/>
          <w:bCs/>
        </w:rPr>
        <w:t>ouncils</w:t>
      </w:r>
      <w:r w:rsidRPr="002352FB" w:rsidDel="000651C1">
        <w:rPr>
          <w:rFonts w:eastAsia="Calibri" w:cs="Arial"/>
          <w:bCs/>
        </w:rPr>
        <w:t xml:space="preserve"> </w:t>
      </w:r>
      <w:r w:rsidRPr="002352FB">
        <w:rPr>
          <w:rFonts w:eastAsia="Calibri" w:cs="Arial"/>
          <w:bCs/>
        </w:rPr>
        <w:t>to inform businesses of the changes;</w:t>
      </w:r>
    </w:p>
    <w:p w14:paraId="33D90408" w14:textId="30FFA6FD" w:rsidR="00CF329F" w:rsidRPr="002352FB" w:rsidRDefault="00CF329F" w:rsidP="00CF329F">
      <w:pPr>
        <w:pStyle w:val="ListParagraph"/>
        <w:keepNext/>
        <w:numPr>
          <w:ilvl w:val="0"/>
          <w:numId w:val="4"/>
        </w:numPr>
        <w:spacing w:before="240" w:after="60"/>
        <w:rPr>
          <w:rFonts w:cs="Arial"/>
          <w:bCs/>
          <w:lang w:eastAsia="en-GB"/>
        </w:rPr>
      </w:pPr>
      <w:r w:rsidRPr="002352FB">
        <w:rPr>
          <w:rFonts w:eastAsia="Arial" w:cs="Arial"/>
          <w:b/>
          <w:bCs/>
          <w:lang w:val="en-US" w:eastAsia="en-GB"/>
        </w:rPr>
        <w:t>Promotion:</w:t>
      </w:r>
      <w:r w:rsidRPr="002352FB">
        <w:rPr>
          <w:rFonts w:eastAsia="Arial" w:cs="Arial"/>
          <w:bCs/>
          <w:lang w:val="en-US" w:eastAsia="en-GB"/>
        </w:rPr>
        <w:t xml:space="preserve"> one-off costs for FS</w:t>
      </w:r>
      <w:r w:rsidR="0052438E">
        <w:rPr>
          <w:rFonts w:eastAsia="Arial" w:cs="Arial"/>
          <w:bCs/>
          <w:lang w:val="en-US" w:eastAsia="en-GB"/>
        </w:rPr>
        <w:t>A</w:t>
      </w:r>
      <w:r w:rsidR="009C6BB9">
        <w:rPr>
          <w:rFonts w:eastAsia="Arial" w:cs="Arial"/>
          <w:bCs/>
          <w:lang w:val="en-US" w:eastAsia="en-GB"/>
        </w:rPr>
        <w:t xml:space="preserve"> </w:t>
      </w:r>
      <w:r w:rsidRPr="002352FB">
        <w:rPr>
          <w:rFonts w:eastAsia="Arial" w:cs="Arial"/>
          <w:bCs/>
          <w:lang w:val="en-US" w:eastAsia="en-GB"/>
        </w:rPr>
        <w:t>to promote the new online display requirements;</w:t>
      </w:r>
    </w:p>
    <w:p w14:paraId="277C85EB" w14:textId="0C03CF4C" w:rsidR="00CF329F" w:rsidRDefault="00CF329F" w:rsidP="00CF329F">
      <w:pPr>
        <w:pStyle w:val="ListParagraph"/>
        <w:keepNext/>
        <w:numPr>
          <w:ilvl w:val="0"/>
          <w:numId w:val="4"/>
        </w:numPr>
        <w:spacing w:before="240" w:after="60"/>
        <w:rPr>
          <w:rFonts w:cs="Arial"/>
          <w:bCs/>
          <w:lang w:eastAsia="en-GB"/>
        </w:rPr>
      </w:pPr>
      <w:r w:rsidRPr="002352FB">
        <w:rPr>
          <w:rFonts w:cs="Arial"/>
          <w:b/>
          <w:lang w:eastAsia="en-GB"/>
        </w:rPr>
        <w:t>Updating websites:</w:t>
      </w:r>
      <w:r w:rsidRPr="002352FB">
        <w:rPr>
          <w:rFonts w:cs="Arial"/>
          <w:bCs/>
          <w:lang w:eastAsia="en-GB"/>
        </w:rPr>
        <w:t xml:space="preserve"> one-off costs for online food ordering businesses and </w:t>
      </w:r>
      <w:r w:rsidR="008A351C">
        <w:rPr>
          <w:rFonts w:cs="Arial"/>
          <w:bCs/>
          <w:lang w:eastAsia="en-GB"/>
        </w:rPr>
        <w:t>aggregators</w:t>
      </w:r>
      <w:r w:rsidRPr="002352FB">
        <w:rPr>
          <w:rFonts w:cs="Arial"/>
          <w:bCs/>
          <w:lang w:eastAsia="en-GB"/>
        </w:rPr>
        <w:t xml:space="preserve"> to display ratings on their websites</w:t>
      </w:r>
    </w:p>
    <w:p w14:paraId="3C3F2572" w14:textId="65C4D3F8" w:rsidR="00E0663F" w:rsidRDefault="00E0663F" w:rsidP="00CF329F">
      <w:pPr>
        <w:pStyle w:val="ListParagraph"/>
        <w:keepNext/>
        <w:numPr>
          <w:ilvl w:val="0"/>
          <w:numId w:val="4"/>
        </w:numPr>
        <w:spacing w:before="240" w:after="60"/>
        <w:rPr>
          <w:rFonts w:cs="Arial"/>
          <w:bCs/>
          <w:lang w:eastAsia="en-GB"/>
        </w:rPr>
      </w:pPr>
      <w:r>
        <w:rPr>
          <w:rFonts w:cs="Arial"/>
          <w:b/>
          <w:lang w:eastAsia="en-GB"/>
        </w:rPr>
        <w:t>IT costs:</w:t>
      </w:r>
      <w:r>
        <w:rPr>
          <w:rFonts w:cs="Arial"/>
          <w:bCs/>
          <w:lang w:eastAsia="en-GB"/>
        </w:rPr>
        <w:t xml:space="preserve"> one-off costs for </w:t>
      </w:r>
      <w:r w:rsidR="00501C10">
        <w:rPr>
          <w:rFonts w:cs="Arial"/>
          <w:bCs/>
          <w:lang w:eastAsia="en-GB"/>
        </w:rPr>
        <w:t>d</w:t>
      </w:r>
      <w:r>
        <w:rPr>
          <w:rFonts w:cs="Arial"/>
          <w:bCs/>
          <w:lang w:eastAsia="en-GB"/>
        </w:rPr>
        <w:t xml:space="preserve">istrict </w:t>
      </w:r>
      <w:r w:rsidR="00501C10">
        <w:rPr>
          <w:rFonts w:cs="Arial"/>
          <w:bCs/>
          <w:lang w:eastAsia="en-GB"/>
        </w:rPr>
        <w:t>c</w:t>
      </w:r>
      <w:r>
        <w:rPr>
          <w:rFonts w:cs="Arial"/>
          <w:bCs/>
          <w:lang w:eastAsia="en-GB"/>
        </w:rPr>
        <w:t xml:space="preserve">ouncils covering </w:t>
      </w:r>
      <w:r w:rsidR="00051E88">
        <w:rPr>
          <w:rFonts w:cs="Arial"/>
          <w:bCs/>
          <w:lang w:eastAsia="en-GB"/>
        </w:rPr>
        <w:t>the following:</w:t>
      </w:r>
      <w:r>
        <w:rPr>
          <w:rFonts w:cs="Arial"/>
          <w:bCs/>
          <w:lang w:eastAsia="en-GB"/>
        </w:rPr>
        <w:t xml:space="preserve"> </w:t>
      </w:r>
      <w:r w:rsidR="00105551">
        <w:rPr>
          <w:rFonts w:cs="Arial"/>
          <w:bCs/>
          <w:lang w:eastAsia="en-GB"/>
        </w:rPr>
        <w:t>internal online access requests, production of local promotional materials,</w:t>
      </w:r>
      <w:r w:rsidR="005C25ED">
        <w:rPr>
          <w:rFonts w:cs="Arial"/>
          <w:bCs/>
          <w:lang w:eastAsia="en-GB"/>
        </w:rPr>
        <w:t xml:space="preserve"> and updates to online processes and MIS codes</w:t>
      </w:r>
    </w:p>
    <w:p w14:paraId="3CB90661" w14:textId="2B233F6C" w:rsidR="003948E0" w:rsidRPr="00AD5FB9" w:rsidRDefault="003948E0" w:rsidP="00CF329F">
      <w:pPr>
        <w:pStyle w:val="ListParagraph"/>
        <w:keepNext/>
        <w:numPr>
          <w:ilvl w:val="0"/>
          <w:numId w:val="4"/>
        </w:numPr>
        <w:spacing w:before="240" w:after="60"/>
        <w:rPr>
          <w:rFonts w:cs="Arial"/>
          <w:bCs/>
          <w:lang w:eastAsia="en-GB"/>
        </w:rPr>
      </w:pPr>
      <w:r>
        <w:rPr>
          <w:rFonts w:cs="Arial"/>
          <w:b/>
          <w:lang w:eastAsia="en-GB"/>
        </w:rPr>
        <w:t>Additional enquiries:</w:t>
      </w:r>
      <w:r>
        <w:rPr>
          <w:rFonts w:cs="Arial"/>
          <w:bCs/>
          <w:lang w:eastAsia="en-GB"/>
        </w:rPr>
        <w:t xml:space="preserve"> FSA and </w:t>
      </w:r>
      <w:r w:rsidR="00501C10">
        <w:rPr>
          <w:rFonts w:cs="Arial"/>
          <w:bCs/>
          <w:lang w:eastAsia="en-GB"/>
        </w:rPr>
        <w:t>d</w:t>
      </w:r>
      <w:r>
        <w:rPr>
          <w:rFonts w:cs="Arial"/>
          <w:bCs/>
          <w:lang w:eastAsia="en-GB"/>
        </w:rPr>
        <w:t xml:space="preserve">istrict </w:t>
      </w:r>
      <w:r w:rsidR="00501C10">
        <w:rPr>
          <w:rFonts w:cs="Arial"/>
          <w:bCs/>
          <w:lang w:eastAsia="en-GB"/>
        </w:rPr>
        <w:t>c</w:t>
      </w:r>
      <w:r>
        <w:rPr>
          <w:rFonts w:cs="Arial"/>
          <w:bCs/>
          <w:lang w:eastAsia="en-GB"/>
        </w:rPr>
        <w:t xml:space="preserve">ouncils are anticipated to face a transitory increase in </w:t>
      </w:r>
      <w:r w:rsidR="004379A0">
        <w:rPr>
          <w:rFonts w:cs="Arial"/>
          <w:bCs/>
          <w:lang w:eastAsia="en-GB"/>
        </w:rPr>
        <w:t xml:space="preserve">queries from consumers and businesses </w:t>
      </w:r>
      <w:r w:rsidR="00FF0F8F">
        <w:rPr>
          <w:rFonts w:cs="Arial"/>
          <w:bCs/>
          <w:lang w:eastAsia="en-GB"/>
        </w:rPr>
        <w:t xml:space="preserve">leading up to and </w:t>
      </w:r>
      <w:r w:rsidR="004379A0">
        <w:rPr>
          <w:rFonts w:cs="Arial"/>
          <w:bCs/>
          <w:lang w:eastAsia="en-GB"/>
        </w:rPr>
        <w:t>in</w:t>
      </w:r>
      <w:r w:rsidR="000D2098">
        <w:rPr>
          <w:rFonts w:cs="Arial"/>
          <w:bCs/>
          <w:lang w:eastAsia="en-GB"/>
        </w:rPr>
        <w:t>to the firs</w:t>
      </w:r>
      <w:r w:rsidR="006817AA">
        <w:rPr>
          <w:rFonts w:cs="Arial"/>
          <w:bCs/>
          <w:lang w:eastAsia="en-GB"/>
        </w:rPr>
        <w:t>t of</w:t>
      </w:r>
      <w:r w:rsidR="004379A0">
        <w:rPr>
          <w:rFonts w:cs="Arial"/>
          <w:bCs/>
          <w:lang w:eastAsia="en-GB"/>
        </w:rPr>
        <w:t xml:space="preserve"> </w:t>
      </w:r>
      <w:r w:rsidR="004379A0" w:rsidRPr="00AD5FB9">
        <w:rPr>
          <w:rFonts w:cs="Arial"/>
          <w:bCs/>
          <w:lang w:eastAsia="en-GB"/>
        </w:rPr>
        <w:t>implementation</w:t>
      </w:r>
    </w:p>
    <w:p w14:paraId="1DF460E2" w14:textId="4D214308" w:rsidR="00464D71" w:rsidRPr="00AD5FB9" w:rsidRDefault="00464D71" w:rsidP="006A0631">
      <w:pPr>
        <w:pStyle w:val="ListParagraph"/>
        <w:numPr>
          <w:ilvl w:val="0"/>
          <w:numId w:val="4"/>
        </w:numPr>
        <w:rPr>
          <w:bCs/>
        </w:rPr>
      </w:pPr>
      <w:r w:rsidRPr="00AD5FB9">
        <w:rPr>
          <w:rFonts w:cs="Arial"/>
          <w:b/>
          <w:bCs/>
          <w:lang w:eastAsia="en-GB"/>
        </w:rPr>
        <w:t xml:space="preserve">Additional monitoring: </w:t>
      </w:r>
      <w:r w:rsidRPr="00AD5FB9">
        <w:t>District councils will be required to monitor compliance with the proposed additional regulations</w:t>
      </w:r>
      <w:r w:rsidR="00B047B9" w:rsidRPr="00AD5FB9">
        <w:t xml:space="preserve"> in the first year</w:t>
      </w:r>
      <w:r w:rsidR="0006353F" w:rsidRPr="00AD5FB9">
        <w:t xml:space="preserve"> </w:t>
      </w:r>
      <w:r w:rsidR="004436A3">
        <w:t>using</w:t>
      </w:r>
      <w:r w:rsidR="0006353F" w:rsidRPr="00AD5FB9">
        <w:t xml:space="preserve"> a risk-based approach</w:t>
      </w:r>
      <w:r w:rsidR="0008317B">
        <w:t>,</w:t>
      </w:r>
      <w:r w:rsidR="0006353F" w:rsidRPr="00AD5FB9">
        <w:t xml:space="preserve"> </w:t>
      </w:r>
      <w:r w:rsidR="0008317B">
        <w:t>with an intelligence</w:t>
      </w:r>
      <w:r w:rsidR="002153A6">
        <w:t xml:space="preserve"> and surveillance based </w:t>
      </w:r>
      <w:r w:rsidR="0008317B">
        <w:t>approach</w:t>
      </w:r>
      <w:r w:rsidR="0006353F" w:rsidRPr="00AD5FB9">
        <w:t xml:space="preserve"> adopted thereaf</w:t>
      </w:r>
      <w:r w:rsidR="0008317B">
        <w:t>ter</w:t>
      </w:r>
      <w:r w:rsidR="0006353F" w:rsidRPr="00AD5FB9">
        <w:t>. For the purposes of this impact assessment this is classified as a one-off cost</w:t>
      </w:r>
      <w:r w:rsidR="00AD5FB9">
        <w:t>.</w:t>
      </w:r>
    </w:p>
    <w:p w14:paraId="6F2A4822" w14:textId="77777777" w:rsidR="00CF329F" w:rsidRPr="002352FB" w:rsidRDefault="00CF329F" w:rsidP="00CF329F">
      <w:pPr>
        <w:pStyle w:val="ListParagraph"/>
        <w:keepNext/>
        <w:spacing w:before="240" w:after="60"/>
        <w:ind w:left="1069"/>
        <w:rPr>
          <w:rFonts w:cs="Arial"/>
          <w:bCs/>
          <w:lang w:eastAsia="en-GB"/>
        </w:rPr>
      </w:pPr>
    </w:p>
    <w:p w14:paraId="552F9578" w14:textId="3CA0C1B2" w:rsidR="00CF329F" w:rsidRPr="006A0631" w:rsidRDefault="00CF329F" w:rsidP="006647A3">
      <w:pPr>
        <w:pStyle w:val="Heading3"/>
        <w:rPr>
          <w:u w:val="single"/>
        </w:rPr>
      </w:pPr>
      <w:r w:rsidRPr="0042384E">
        <w:t>Ongoing costs and benefits</w:t>
      </w:r>
      <w:r w:rsidR="00464D71">
        <w:rPr>
          <w:u w:val="single"/>
        </w:rPr>
        <w:br/>
      </w:r>
    </w:p>
    <w:p w14:paraId="71ECDD6D" w14:textId="2E08E108" w:rsidR="00804BCB" w:rsidRPr="005761AE" w:rsidRDefault="005C0B5F" w:rsidP="00DF2B78">
      <w:pPr>
        <w:pStyle w:val="ListParagraph"/>
        <w:keepNext/>
        <w:numPr>
          <w:ilvl w:val="0"/>
          <w:numId w:val="5"/>
        </w:numPr>
        <w:spacing w:before="240" w:after="60"/>
        <w:rPr>
          <w:rFonts w:cs="Arial"/>
          <w:b/>
          <w:bCs/>
          <w:lang w:eastAsia="en-GB"/>
        </w:rPr>
      </w:pPr>
      <w:r>
        <w:rPr>
          <w:rFonts w:eastAsia="Arial" w:cs="Arial"/>
          <w:b/>
          <w:bCs/>
          <w:color w:val="000000"/>
          <w:lang w:val="en-US" w:eastAsia="en-GB"/>
        </w:rPr>
        <w:t>Re-rating</w:t>
      </w:r>
      <w:r w:rsidR="00083984">
        <w:rPr>
          <w:rFonts w:eastAsia="Arial" w:cs="Arial"/>
          <w:b/>
          <w:bCs/>
          <w:color w:val="000000"/>
          <w:lang w:val="en-US" w:eastAsia="en-GB"/>
        </w:rPr>
        <w:t xml:space="preserve">s: </w:t>
      </w:r>
      <w:r w:rsidR="00083984">
        <w:rPr>
          <w:rFonts w:eastAsia="Arial" w:cs="Arial"/>
          <w:color w:val="000000"/>
          <w:lang w:val="en-US" w:eastAsia="en-GB"/>
        </w:rPr>
        <w:t>Businesses may request a re-rating</w:t>
      </w:r>
      <w:r w:rsidR="00111BE2">
        <w:rPr>
          <w:rFonts w:eastAsia="Arial" w:cs="Arial"/>
          <w:color w:val="000000"/>
          <w:lang w:val="en-US" w:eastAsia="en-GB"/>
        </w:rPr>
        <w:t xml:space="preserve"> following the introduction of mandatory online display. These costs will be recovered by </w:t>
      </w:r>
      <w:r w:rsidR="00501C10">
        <w:rPr>
          <w:rFonts w:eastAsia="Arial" w:cs="Arial"/>
          <w:color w:val="000000"/>
          <w:lang w:val="en-US" w:eastAsia="en-GB"/>
        </w:rPr>
        <w:t>d</w:t>
      </w:r>
      <w:r w:rsidR="00AF1595">
        <w:rPr>
          <w:rFonts w:eastAsia="Arial" w:cs="Arial"/>
          <w:color w:val="000000"/>
          <w:lang w:val="en-US" w:eastAsia="en-GB"/>
        </w:rPr>
        <w:t xml:space="preserve">istrict </w:t>
      </w:r>
      <w:r w:rsidR="00501C10">
        <w:rPr>
          <w:rFonts w:eastAsia="Arial" w:cs="Arial"/>
          <w:color w:val="000000"/>
          <w:lang w:val="en-US" w:eastAsia="en-GB"/>
        </w:rPr>
        <w:t>c</w:t>
      </w:r>
      <w:r w:rsidR="00AF1595">
        <w:rPr>
          <w:rFonts w:eastAsia="Arial" w:cs="Arial"/>
          <w:color w:val="000000"/>
          <w:lang w:val="en-US" w:eastAsia="en-GB"/>
        </w:rPr>
        <w:t>ouncils</w:t>
      </w:r>
      <w:r w:rsidR="00104FD4">
        <w:rPr>
          <w:rFonts w:eastAsia="Arial" w:cs="Arial"/>
          <w:color w:val="000000"/>
          <w:lang w:val="en-US" w:eastAsia="en-GB"/>
        </w:rPr>
        <w:t xml:space="preserve"> and therefore are a cost to industry.</w:t>
      </w:r>
    </w:p>
    <w:p w14:paraId="26F79450" w14:textId="3B4F644F" w:rsidR="00804BCB" w:rsidRPr="00432758" w:rsidRDefault="00804BCB" w:rsidP="00804BCB">
      <w:pPr>
        <w:pStyle w:val="ListParagraph"/>
        <w:numPr>
          <w:ilvl w:val="0"/>
          <w:numId w:val="5"/>
        </w:numPr>
        <w:rPr>
          <w:b/>
          <w:lang w:eastAsia="en-GB"/>
        </w:rPr>
      </w:pPr>
      <w:r w:rsidRPr="005C7833">
        <w:rPr>
          <w:rFonts w:eastAsia="Arial"/>
          <w:b/>
          <w:color w:val="000000"/>
          <w:lang w:val="en-US" w:eastAsia="en-GB"/>
        </w:rPr>
        <w:t>F</w:t>
      </w:r>
      <w:r w:rsidRPr="00BA1772">
        <w:rPr>
          <w:rFonts w:eastAsia="Arial"/>
          <w:b/>
          <w:color w:val="000000"/>
          <w:lang w:val="en-US" w:eastAsia="en-GB"/>
        </w:rPr>
        <w:t>oodborne disease:</w:t>
      </w:r>
      <w:r w:rsidRPr="00BA1772">
        <w:rPr>
          <w:b/>
          <w:color w:val="000000"/>
          <w:lang w:val="en-US" w:eastAsia="en-GB"/>
        </w:rPr>
        <w:t xml:space="preserve"> </w:t>
      </w:r>
      <w:r w:rsidRPr="00BA1772">
        <w:rPr>
          <w:color w:val="000000"/>
          <w:lang w:val="en-US" w:eastAsia="en-GB"/>
        </w:rPr>
        <w:t>benefits</w:t>
      </w:r>
      <w:r w:rsidRPr="00BA1772">
        <w:rPr>
          <w:color w:val="000000"/>
          <w:lang w:eastAsia="en-GB"/>
        </w:rPr>
        <w:t xml:space="preserve"> to consumers that are associated with reduced incidence of foodborne disease (including a reduction in costs associated with productivity losses to industry, loss of earnings incurred by the sufferer and carers, burdens on the NHS and pain and suffering). </w:t>
      </w:r>
      <w:r w:rsidRPr="00432758">
        <w:rPr>
          <w:color w:val="000000"/>
          <w:lang w:eastAsia="en-GB"/>
        </w:rPr>
        <w:t>We are unable to provide these estimates by affected stakeholder group at this stage</w:t>
      </w:r>
      <w:r w:rsidR="00A60052">
        <w:rPr>
          <w:color w:val="000000"/>
          <w:lang w:eastAsia="en-GB"/>
        </w:rPr>
        <w:t xml:space="preserve"> (non-monetised)</w:t>
      </w:r>
      <w:r w:rsidR="007B225C">
        <w:rPr>
          <w:color w:val="000000"/>
          <w:lang w:eastAsia="en-GB"/>
        </w:rPr>
        <w:t>.</w:t>
      </w:r>
    </w:p>
    <w:p w14:paraId="03018254" w14:textId="686B5AAD" w:rsidR="00804BCB" w:rsidRPr="00432758" w:rsidRDefault="00804BCB" w:rsidP="00804BCB">
      <w:pPr>
        <w:pStyle w:val="ListParagraph"/>
        <w:numPr>
          <w:ilvl w:val="0"/>
          <w:numId w:val="5"/>
        </w:numPr>
        <w:rPr>
          <w:b/>
          <w:lang w:eastAsia="en-GB"/>
        </w:rPr>
      </w:pPr>
      <w:r>
        <w:rPr>
          <w:b/>
          <w:lang w:eastAsia="en-GB"/>
        </w:rPr>
        <w:t xml:space="preserve">Growth in online ordering market: </w:t>
      </w:r>
      <w:r>
        <w:rPr>
          <w:bCs/>
          <w:lang w:eastAsia="en-GB"/>
        </w:rPr>
        <w:t>Improved consumer confidence could see an accentuation of existing post-COVID shifts in consumer ordering behaviour towards online ordering</w:t>
      </w:r>
      <w:r w:rsidR="00A60052">
        <w:rPr>
          <w:bCs/>
          <w:lang w:eastAsia="en-GB"/>
        </w:rPr>
        <w:t xml:space="preserve"> (non-monetised)</w:t>
      </w:r>
      <w:r w:rsidR="007B225C">
        <w:rPr>
          <w:bCs/>
          <w:lang w:eastAsia="en-GB"/>
        </w:rPr>
        <w:t>.</w:t>
      </w:r>
    </w:p>
    <w:p w14:paraId="55365A7B" w14:textId="1EFD96DC" w:rsidR="00CF329F" w:rsidRPr="008242FF" w:rsidRDefault="00804BCB" w:rsidP="00420A18">
      <w:pPr>
        <w:pStyle w:val="ListParagraph"/>
        <w:keepNext/>
        <w:numPr>
          <w:ilvl w:val="0"/>
          <w:numId w:val="5"/>
        </w:numPr>
        <w:spacing w:before="240" w:after="60"/>
        <w:rPr>
          <w:rFonts w:cs="Arial"/>
          <w:b/>
          <w:lang w:eastAsia="en-GB"/>
        </w:rPr>
      </w:pPr>
      <w:r>
        <w:rPr>
          <w:rFonts w:cs="Arial"/>
          <w:b/>
          <w:bCs/>
          <w:lang w:eastAsia="en-GB"/>
        </w:rPr>
        <w:t>Efficiency gains</w:t>
      </w:r>
      <w:r w:rsidR="00386C51">
        <w:rPr>
          <w:rFonts w:cs="Arial"/>
          <w:b/>
          <w:bCs/>
          <w:lang w:eastAsia="en-GB"/>
        </w:rPr>
        <w:t xml:space="preserve">: </w:t>
      </w:r>
      <w:r w:rsidR="00386C51" w:rsidRPr="006B20DE">
        <w:rPr>
          <w:rFonts w:cs="Arial"/>
          <w:lang w:eastAsia="en-GB"/>
        </w:rPr>
        <w:t xml:space="preserve">As more businesses become compliant with regulations and achieve earned recognition status, </w:t>
      </w:r>
      <w:r w:rsidR="00501C10">
        <w:rPr>
          <w:rFonts w:cs="Arial"/>
          <w:lang w:eastAsia="en-GB"/>
        </w:rPr>
        <w:t>d</w:t>
      </w:r>
      <w:r w:rsidR="00386C51" w:rsidRPr="006B20DE">
        <w:rPr>
          <w:rFonts w:cs="Arial"/>
          <w:lang w:eastAsia="en-GB"/>
        </w:rPr>
        <w:t xml:space="preserve">istrict </w:t>
      </w:r>
      <w:r w:rsidR="00501C10">
        <w:rPr>
          <w:rFonts w:cs="Arial"/>
          <w:lang w:eastAsia="en-GB"/>
        </w:rPr>
        <w:t>c</w:t>
      </w:r>
      <w:r w:rsidR="00386C51" w:rsidRPr="006B20DE">
        <w:rPr>
          <w:rFonts w:cs="Arial"/>
          <w:lang w:eastAsia="en-GB"/>
        </w:rPr>
        <w:t xml:space="preserve">ouncils will enjoy reduced inspection </w:t>
      </w:r>
      <w:r w:rsidR="00386C51" w:rsidRPr="006B20DE">
        <w:rPr>
          <w:rFonts w:cs="Arial"/>
          <w:lang w:eastAsia="en-GB"/>
        </w:rPr>
        <w:lastRenderedPageBreak/>
        <w:t>volumes and reduced</w:t>
      </w:r>
      <w:r w:rsidR="00386C51">
        <w:rPr>
          <w:rFonts w:cs="Arial"/>
          <w:lang w:eastAsia="en-GB"/>
        </w:rPr>
        <w:t xml:space="preserve"> resource requirements for</w:t>
      </w:r>
      <w:r w:rsidR="00386C51" w:rsidRPr="006B20DE">
        <w:rPr>
          <w:rFonts w:cs="Arial"/>
          <w:lang w:eastAsia="en-GB"/>
        </w:rPr>
        <w:t xml:space="preserve"> enforcement action</w:t>
      </w:r>
      <w:r w:rsidR="00A75F02">
        <w:rPr>
          <w:rFonts w:cs="Arial"/>
          <w:lang w:eastAsia="en-GB"/>
        </w:rPr>
        <w:t>, freeing up resources for other uses</w:t>
      </w:r>
      <w:r w:rsidR="00A60052">
        <w:rPr>
          <w:rFonts w:cs="Arial"/>
          <w:lang w:eastAsia="en-GB"/>
        </w:rPr>
        <w:t xml:space="preserve"> (non-monetised)</w:t>
      </w:r>
      <w:r w:rsidR="007B225C">
        <w:rPr>
          <w:rFonts w:cs="Arial"/>
          <w:lang w:eastAsia="en-GB"/>
        </w:rPr>
        <w:t>.</w:t>
      </w:r>
    </w:p>
    <w:p w14:paraId="41E9BF0A" w14:textId="30F9F233" w:rsidR="00C17795" w:rsidRPr="00804BCB" w:rsidRDefault="00C17795" w:rsidP="006B20DE">
      <w:pPr>
        <w:pStyle w:val="ListParagraph"/>
        <w:keepNext/>
        <w:numPr>
          <w:ilvl w:val="0"/>
          <w:numId w:val="5"/>
        </w:numPr>
        <w:spacing w:before="240" w:after="60"/>
        <w:rPr>
          <w:rFonts w:cs="Arial"/>
          <w:b/>
          <w:bCs/>
          <w:lang w:eastAsia="en-GB"/>
        </w:rPr>
      </w:pPr>
      <w:r>
        <w:rPr>
          <w:rFonts w:cs="Arial"/>
          <w:b/>
          <w:bCs/>
          <w:lang w:eastAsia="en-GB"/>
        </w:rPr>
        <w:t>Reduced burden of enforcement:</w:t>
      </w:r>
      <w:r w:rsidR="00A75F02">
        <w:rPr>
          <w:rFonts w:cs="Arial"/>
          <w:b/>
          <w:bCs/>
          <w:lang w:eastAsia="en-GB"/>
        </w:rPr>
        <w:t xml:space="preserve"> </w:t>
      </w:r>
      <w:r w:rsidR="00A75F02">
        <w:rPr>
          <w:rFonts w:cs="Arial"/>
          <w:lang w:eastAsia="en-GB"/>
        </w:rPr>
        <w:t>As businesses become more compliant and achieve higher FHR</w:t>
      </w:r>
      <w:r w:rsidR="006A2B11">
        <w:rPr>
          <w:rFonts w:cs="Arial"/>
          <w:lang w:eastAsia="en-GB"/>
        </w:rPr>
        <w:t xml:space="preserve"> outcomes, they will be inspected less as inspection frequencies are risk-based,</w:t>
      </w:r>
      <w:r w:rsidR="00DD1916">
        <w:rPr>
          <w:rFonts w:cs="Arial"/>
          <w:lang w:eastAsia="en-GB"/>
        </w:rPr>
        <w:t xml:space="preserve"> decreasing the time businesses have to dedicate to inspection activities</w:t>
      </w:r>
      <w:r w:rsidR="00592924">
        <w:rPr>
          <w:rFonts w:cs="Arial"/>
          <w:lang w:eastAsia="en-GB"/>
        </w:rPr>
        <w:t xml:space="preserve"> </w:t>
      </w:r>
      <w:r w:rsidR="00A60052" w:rsidRPr="00A60052">
        <w:rPr>
          <w:rFonts w:cs="Arial"/>
          <w:lang w:eastAsia="en-GB"/>
        </w:rPr>
        <w:t>(non-monetised)</w:t>
      </w:r>
      <w:r w:rsidR="00592924">
        <w:rPr>
          <w:rFonts w:cs="Arial"/>
          <w:lang w:eastAsia="en-GB"/>
        </w:rPr>
        <w:t>.</w:t>
      </w:r>
    </w:p>
    <w:p w14:paraId="4C8E2756" w14:textId="694FA15A" w:rsidR="00CF329F" w:rsidRPr="006A0631" w:rsidRDefault="00CF329F" w:rsidP="006647A3">
      <w:pPr>
        <w:pStyle w:val="Heading3"/>
        <w:rPr>
          <w:u w:val="single"/>
        </w:rPr>
      </w:pPr>
      <w:r w:rsidRPr="0042384E">
        <w:t>Non-monetised costs and benefits</w:t>
      </w:r>
    </w:p>
    <w:p w14:paraId="0487F2A6" w14:textId="6C88E4C7" w:rsidR="00CF329F" w:rsidRPr="0067634A" w:rsidRDefault="00CF329F" w:rsidP="00CF329F">
      <w:pPr>
        <w:pStyle w:val="ListParagraph"/>
        <w:keepNext/>
        <w:numPr>
          <w:ilvl w:val="0"/>
          <w:numId w:val="5"/>
        </w:numPr>
        <w:spacing w:before="240" w:after="60"/>
        <w:rPr>
          <w:rFonts w:cs="Arial"/>
          <w:b/>
          <w:bCs/>
          <w:lang w:eastAsia="en-GB"/>
        </w:rPr>
      </w:pPr>
      <w:r w:rsidRPr="0067634A">
        <w:rPr>
          <w:rFonts w:cs="Arial"/>
          <w:bCs/>
          <w:lang w:eastAsia="en-GB"/>
        </w:rPr>
        <w:t>Potential outcomes from the legislation where it is currently not possible to quantify their impact. Where we are unable to quantify expected impacts, we have explained in detail why the required data is not available and how we seek to substantiate the assessment and our understanding going forward.</w:t>
      </w:r>
      <w:r w:rsidR="004F7BD9">
        <w:rPr>
          <w:rFonts w:cs="Arial"/>
          <w:bCs/>
          <w:lang w:eastAsia="en-GB"/>
        </w:rPr>
        <w:br/>
      </w:r>
    </w:p>
    <w:p w14:paraId="0E7AFE1A" w14:textId="0B287C03" w:rsidR="00E6656B" w:rsidRDefault="00E6656B" w:rsidP="004F7BD9">
      <w:pPr>
        <w:pStyle w:val="ListParagraph"/>
        <w:numPr>
          <w:ilvl w:val="0"/>
          <w:numId w:val="7"/>
        </w:numPr>
        <w:tabs>
          <w:tab w:val="left" w:pos="7920"/>
        </w:tabs>
        <w:spacing w:before="240" w:after="60"/>
        <w:rPr>
          <w:rFonts w:eastAsia="Arial"/>
          <w:lang w:val="en-US"/>
        </w:rPr>
      </w:pPr>
      <w:r w:rsidRPr="00E6656B">
        <w:rPr>
          <w:rFonts w:eastAsia="Arial"/>
          <w:lang w:val="en-US"/>
        </w:rPr>
        <w:t xml:space="preserve">The 2022/23 annual funding which the FSA provided </w:t>
      </w:r>
      <w:r w:rsidR="00501C10">
        <w:rPr>
          <w:rFonts w:eastAsia="Arial"/>
          <w:lang w:val="en-US"/>
        </w:rPr>
        <w:t>d</w:t>
      </w:r>
      <w:r w:rsidR="00AF1595">
        <w:rPr>
          <w:rFonts w:eastAsia="Arial"/>
          <w:lang w:val="en-US"/>
        </w:rPr>
        <w:t xml:space="preserve">istrict </w:t>
      </w:r>
      <w:r w:rsidR="00501C10">
        <w:rPr>
          <w:rFonts w:eastAsia="Arial"/>
          <w:lang w:val="en-US"/>
        </w:rPr>
        <w:t>c</w:t>
      </w:r>
      <w:r w:rsidR="00AF1595">
        <w:rPr>
          <w:rFonts w:eastAsia="Arial"/>
          <w:lang w:val="en-US"/>
        </w:rPr>
        <w:t>ouncils</w:t>
      </w:r>
      <w:r w:rsidRPr="004F7BD9">
        <w:rPr>
          <w:rFonts w:eastAsia="Arial"/>
          <w:lang w:val="en-US"/>
        </w:rPr>
        <w:t xml:space="preserve"> </w:t>
      </w:r>
      <w:r w:rsidRPr="00E6656B">
        <w:rPr>
          <w:rFonts w:eastAsia="Arial"/>
          <w:lang w:val="en-US"/>
        </w:rPr>
        <w:t>towards the delivery of food safety and standards took into account the forthcoming adoption and implementation of the FHRS online regs.</w:t>
      </w:r>
      <w:r w:rsidR="006459D9">
        <w:rPr>
          <w:rFonts w:eastAsia="Arial"/>
          <w:lang w:val="en-US"/>
        </w:rPr>
        <w:t xml:space="preserve"> For this reason, a</w:t>
      </w:r>
      <w:r w:rsidR="006E2C33">
        <w:rPr>
          <w:rFonts w:eastAsia="Arial"/>
          <w:lang w:val="en-US"/>
        </w:rPr>
        <w:t xml:space="preserve"> separate</w:t>
      </w:r>
      <w:r w:rsidR="006459D9">
        <w:rPr>
          <w:rFonts w:eastAsia="Arial"/>
          <w:lang w:val="en-US"/>
        </w:rPr>
        <w:t xml:space="preserve"> lump-sum </w:t>
      </w:r>
      <w:r w:rsidR="00501C10">
        <w:rPr>
          <w:rFonts w:eastAsia="Arial"/>
          <w:lang w:val="en-US"/>
        </w:rPr>
        <w:t>d</w:t>
      </w:r>
      <w:r w:rsidR="005500E3">
        <w:rPr>
          <w:rFonts w:eastAsia="Arial"/>
          <w:lang w:val="en-US"/>
        </w:rPr>
        <w:t xml:space="preserve">istrict </w:t>
      </w:r>
      <w:r w:rsidR="00501C10">
        <w:rPr>
          <w:rFonts w:eastAsia="Arial"/>
          <w:lang w:val="en-US"/>
        </w:rPr>
        <w:t>c</w:t>
      </w:r>
      <w:r w:rsidR="005500E3">
        <w:rPr>
          <w:rFonts w:eastAsia="Arial"/>
          <w:lang w:val="en-US"/>
        </w:rPr>
        <w:t>ouncil</w:t>
      </w:r>
      <w:r w:rsidR="006459D9">
        <w:rPr>
          <w:rFonts w:eastAsia="Arial"/>
          <w:lang w:val="en-US"/>
        </w:rPr>
        <w:t xml:space="preserve"> support payment</w:t>
      </w:r>
      <w:r w:rsidR="00392D18">
        <w:rPr>
          <w:rFonts w:eastAsia="Arial"/>
          <w:lang w:val="en-US"/>
        </w:rPr>
        <w:t xml:space="preserve"> for</w:t>
      </w:r>
      <w:r w:rsidR="002A4307">
        <w:rPr>
          <w:rFonts w:eastAsia="Arial"/>
          <w:lang w:val="en-US"/>
        </w:rPr>
        <w:t xml:space="preserve"> the implementation of this </w:t>
      </w:r>
      <w:r w:rsidR="006E2C33">
        <w:rPr>
          <w:rFonts w:eastAsia="Arial"/>
          <w:lang w:val="en-US"/>
        </w:rPr>
        <w:t>policy</w:t>
      </w:r>
      <w:r w:rsidR="006459D9">
        <w:rPr>
          <w:rFonts w:eastAsia="Arial"/>
          <w:lang w:val="en-US"/>
        </w:rPr>
        <w:t xml:space="preserve"> </w:t>
      </w:r>
      <w:r w:rsidR="004E3512">
        <w:rPr>
          <w:rFonts w:eastAsia="Arial"/>
          <w:lang w:val="en-US"/>
        </w:rPr>
        <w:t>has not been included for the purposes of this impact assessment</w:t>
      </w:r>
      <w:r w:rsidR="006E2C33">
        <w:rPr>
          <w:rFonts w:eastAsia="Arial"/>
          <w:lang w:val="en-US"/>
        </w:rPr>
        <w:t>.</w:t>
      </w:r>
      <w:r w:rsidR="00A53C01">
        <w:rPr>
          <w:rFonts w:eastAsia="Arial"/>
          <w:lang w:val="en-US"/>
        </w:rPr>
        <w:t xml:space="preserve"> </w:t>
      </w:r>
      <w:r w:rsidR="004F7BD9">
        <w:rPr>
          <w:rFonts w:eastAsia="Arial"/>
        </w:rPr>
        <w:br/>
      </w:r>
    </w:p>
    <w:p w14:paraId="5F1BEAB5" w14:textId="38FF6401" w:rsidR="008351C6" w:rsidRDefault="00CF329F" w:rsidP="004F7BD9">
      <w:pPr>
        <w:pStyle w:val="ListParagraph"/>
        <w:numPr>
          <w:ilvl w:val="0"/>
          <w:numId w:val="7"/>
        </w:numPr>
        <w:tabs>
          <w:tab w:val="left" w:pos="7920"/>
        </w:tabs>
        <w:spacing w:before="240" w:after="60"/>
        <w:rPr>
          <w:rFonts w:eastAsia="Calibri"/>
          <w:color w:val="000000"/>
        </w:rPr>
      </w:pPr>
      <w:r w:rsidRPr="00BA1772">
        <w:rPr>
          <w:rFonts w:eastAsia="Arial"/>
          <w:lang w:val="en-US"/>
        </w:rPr>
        <w:t>To ensure consistency in our calculations we have adopted the Standard Cost Model (SCM) approach published by BEIS. Where we have used wage rate data we have taken hourly wage r</w:t>
      </w:r>
      <w:r w:rsidRPr="2CBE60CD">
        <w:t xml:space="preserve">ates </w:t>
      </w:r>
      <w:r w:rsidRPr="2CBE60CD">
        <w:rPr>
          <w:color w:val="000000"/>
        </w:rPr>
        <w:t>from the 20</w:t>
      </w:r>
      <w:r w:rsidR="00026710" w:rsidRPr="2CBE60CD">
        <w:rPr>
          <w:color w:val="000000"/>
        </w:rPr>
        <w:t>21</w:t>
      </w:r>
      <w:r w:rsidRPr="2CBE60CD">
        <w:rPr>
          <w:color w:val="000000"/>
        </w:rPr>
        <w:t xml:space="preserve"> Annual Survey of Hours and Earnings (ASHE)</w:t>
      </w:r>
      <w:r w:rsidRPr="2CBE60CD">
        <w:rPr>
          <w:color w:val="000000"/>
          <w:vertAlign w:val="superscript"/>
        </w:rPr>
        <w:footnoteReference w:id="13"/>
      </w:r>
      <w:r w:rsidRPr="2CBE60CD">
        <w:rPr>
          <w:color w:val="000000"/>
        </w:rPr>
        <w:t>, using the median rat</w:t>
      </w:r>
      <w:r w:rsidRPr="2CBE60CD">
        <w:t>e of pay</w:t>
      </w:r>
      <w:r w:rsidRPr="2CBE60CD">
        <w:rPr>
          <w:color w:val="000000"/>
        </w:rPr>
        <w:t xml:space="preserve"> and uplifting by </w:t>
      </w:r>
      <w:r w:rsidR="00026710" w:rsidRPr="2CBE60CD">
        <w:rPr>
          <w:color w:val="000000"/>
        </w:rPr>
        <w:t>22</w:t>
      </w:r>
      <w:r w:rsidRPr="2CBE60CD">
        <w:rPr>
          <w:color w:val="000000"/>
        </w:rPr>
        <w:t xml:space="preserve">% to account for overheads in line with </w:t>
      </w:r>
      <w:r w:rsidR="00154B40" w:rsidRPr="2CBE60CD">
        <w:rPr>
          <w:color w:val="000000"/>
        </w:rPr>
        <w:t>R</w:t>
      </w:r>
      <w:r w:rsidR="00223910" w:rsidRPr="2CBE60CD">
        <w:rPr>
          <w:color w:val="000000"/>
        </w:rPr>
        <w:t>egulatory Policy Committee</w:t>
      </w:r>
      <w:r w:rsidRPr="2CBE60CD">
        <w:rPr>
          <w:color w:val="000000"/>
          <w:vertAlign w:val="superscript"/>
        </w:rPr>
        <w:footnoteReference w:id="14"/>
      </w:r>
      <w:r w:rsidRPr="2CBE60CD">
        <w:rPr>
          <w:color w:val="000000"/>
        </w:rPr>
        <w:t xml:space="preserve"> guidance.</w:t>
      </w:r>
      <w:r w:rsidR="004F7BD9">
        <w:rPr>
          <w:bCs/>
          <w:color w:val="000000"/>
        </w:rPr>
        <w:br/>
      </w:r>
    </w:p>
    <w:p w14:paraId="1732DCE9" w14:textId="2EEDE4FE" w:rsidR="009B2B62" w:rsidRDefault="00A2520B" w:rsidP="009B2B62">
      <w:pPr>
        <w:pStyle w:val="ListParagraph"/>
        <w:numPr>
          <w:ilvl w:val="0"/>
          <w:numId w:val="7"/>
        </w:numPr>
        <w:tabs>
          <w:tab w:val="left" w:pos="7920"/>
        </w:tabs>
        <w:spacing w:before="240" w:after="60"/>
        <w:rPr>
          <w:color w:val="000000"/>
        </w:rPr>
      </w:pPr>
      <w:r w:rsidRPr="2CBE60CD">
        <w:rPr>
          <w:color w:val="000000"/>
        </w:rPr>
        <w:t>For the purposes of monetisation of costs and benefits for this impact assessment, the FHRS database was used to obtain a total number of businesses</w:t>
      </w:r>
      <w:r w:rsidR="009601A9" w:rsidRPr="2CBE60CD">
        <w:rPr>
          <w:color w:val="000000"/>
        </w:rPr>
        <w:t xml:space="preserve">, with this total figure across all FHRS categories recorded as 17,360 businesses as of </w:t>
      </w:r>
      <w:r w:rsidR="00FC0579" w:rsidRPr="2CBE60CD">
        <w:rPr>
          <w:color w:val="000000"/>
        </w:rPr>
        <w:t>31</w:t>
      </w:r>
      <w:r w:rsidR="00FC0579" w:rsidRPr="004F7BD9">
        <w:rPr>
          <w:color w:val="000000"/>
          <w:vertAlign w:val="superscript"/>
        </w:rPr>
        <w:t>st</w:t>
      </w:r>
      <w:r w:rsidR="00FC0579" w:rsidRPr="2CBE60CD">
        <w:rPr>
          <w:color w:val="000000"/>
        </w:rPr>
        <w:t xml:space="preserve"> March 2022.</w:t>
      </w:r>
      <w:r w:rsidR="0085326F" w:rsidRPr="2CBE60CD">
        <w:rPr>
          <w:color w:val="000000"/>
        </w:rPr>
        <w:t xml:space="preserve"> </w:t>
      </w:r>
      <w:r w:rsidR="005616B9" w:rsidRPr="2CBE60CD">
        <w:rPr>
          <w:color w:val="000000"/>
        </w:rPr>
        <w:t>From this total, the following categories have been deemed in scope of this secondary legislation relating to online display: ‘Farmers/</w:t>
      </w:r>
      <w:r w:rsidR="009E1BEA" w:rsidRPr="2CBE60CD">
        <w:rPr>
          <w:color w:val="000000"/>
        </w:rPr>
        <w:t>G</w:t>
      </w:r>
      <w:r w:rsidR="005616B9" w:rsidRPr="2CBE60CD">
        <w:rPr>
          <w:color w:val="000000"/>
        </w:rPr>
        <w:t>rowers’</w:t>
      </w:r>
      <w:r w:rsidR="009E1BEA" w:rsidRPr="2CBE60CD">
        <w:rPr>
          <w:color w:val="000000"/>
        </w:rPr>
        <w:t>, ‘Importers/Exporters’, ‘Distributors/Transporters’, ‘Manufacturers/Packers’, ‘</w:t>
      </w:r>
      <w:r w:rsidR="00403090" w:rsidRPr="2CBE60CD">
        <w:rPr>
          <w:color w:val="000000"/>
        </w:rPr>
        <w:t>Mobile Caterers’, ‘Other Caterers’, ‘Restaurant</w:t>
      </w:r>
      <w:r w:rsidR="00380308" w:rsidRPr="2CBE60CD">
        <w:rPr>
          <w:color w:val="000000"/>
        </w:rPr>
        <w:t xml:space="preserve">s/Cafes/Canteens’, ‘Takeaway/Sandwich Shops’, ‘Retailers’ and </w:t>
      </w:r>
      <w:r w:rsidR="0096042C" w:rsidRPr="2CBE60CD">
        <w:rPr>
          <w:color w:val="000000"/>
        </w:rPr>
        <w:t xml:space="preserve">‘Other Retail’. The number of businesses in these categories is 12,779. The 2019 BMG report </w:t>
      </w:r>
      <w:r w:rsidR="006E6D73" w:rsidRPr="2CBE60CD">
        <w:rPr>
          <w:color w:val="000000"/>
        </w:rPr>
        <w:t>found that 26% of businesses in Northern Ireland had an online ordering facility</w:t>
      </w:r>
      <w:r w:rsidR="006A14DD" w:rsidRPr="2CBE60CD">
        <w:rPr>
          <w:rStyle w:val="FootnoteReference"/>
          <w:color w:val="000000"/>
        </w:rPr>
        <w:footnoteReference w:id="15"/>
      </w:r>
      <w:r w:rsidR="006E6D73" w:rsidRPr="2CBE60CD">
        <w:rPr>
          <w:color w:val="000000"/>
        </w:rPr>
        <w:t>,</w:t>
      </w:r>
      <w:r w:rsidR="008D0AE2" w:rsidRPr="2CBE60CD">
        <w:rPr>
          <w:color w:val="000000"/>
        </w:rPr>
        <w:t xml:space="preserve"> be it their own facility through social media or a website, or </w:t>
      </w:r>
      <w:r w:rsidR="0073242C" w:rsidRPr="2CBE60CD">
        <w:rPr>
          <w:color w:val="000000"/>
        </w:rPr>
        <w:t xml:space="preserve">the use of an aggregator. </w:t>
      </w:r>
      <w:r w:rsidR="00A247A3" w:rsidRPr="2CBE60CD">
        <w:rPr>
          <w:color w:val="000000"/>
        </w:rPr>
        <w:t xml:space="preserve">Unless </w:t>
      </w:r>
      <w:r w:rsidR="008831D9" w:rsidRPr="2CBE60CD">
        <w:rPr>
          <w:color w:val="000000"/>
        </w:rPr>
        <w:t>an alternative methodology is outlined,</w:t>
      </w:r>
      <w:r w:rsidR="00D3792B" w:rsidRPr="2CBE60CD">
        <w:rPr>
          <w:color w:val="000000"/>
        </w:rPr>
        <w:t xml:space="preserve"> monetisation of costs or benefits referring to</w:t>
      </w:r>
      <w:r w:rsidR="006A2FA3" w:rsidRPr="2CBE60CD">
        <w:rPr>
          <w:color w:val="000000"/>
        </w:rPr>
        <w:t xml:space="preserve"> multiplying by the number of businesses will use this figure in calculations.</w:t>
      </w:r>
      <w:r w:rsidR="00A247A3" w:rsidRPr="2CBE60CD">
        <w:rPr>
          <w:color w:val="000000"/>
        </w:rPr>
        <w:t xml:space="preserve"> </w:t>
      </w:r>
      <w:r w:rsidR="00D3792B" w:rsidRPr="2CBE60CD">
        <w:rPr>
          <w:color w:val="000000"/>
        </w:rPr>
        <w:t xml:space="preserve">Some doubt remains as to the total accuracy of this 26% estimate, as the report was commissioned and published pre-pandemic, and thus does not reflect the significant shifts in consumer behaviour </w:t>
      </w:r>
      <w:r w:rsidR="003A5823" w:rsidRPr="2CBE60CD">
        <w:rPr>
          <w:color w:val="000000"/>
        </w:rPr>
        <w:t xml:space="preserve">which resulted from the </w:t>
      </w:r>
      <w:r w:rsidR="00D3792B" w:rsidRPr="2CBE60CD">
        <w:rPr>
          <w:color w:val="000000"/>
        </w:rPr>
        <w:t>pandemic, which reflect</w:t>
      </w:r>
      <w:r w:rsidR="000A14A8" w:rsidRPr="2CBE60CD">
        <w:rPr>
          <w:color w:val="000000"/>
        </w:rPr>
        <w:t>s</w:t>
      </w:r>
      <w:r w:rsidR="00D3792B" w:rsidRPr="2CBE60CD">
        <w:rPr>
          <w:color w:val="000000"/>
        </w:rPr>
        <w:t xml:space="preserve"> an increase in online ordering activity in both food-related industries and more generally. </w:t>
      </w:r>
      <w:r w:rsidR="00A25345" w:rsidRPr="2CBE60CD">
        <w:rPr>
          <w:color w:val="000000"/>
        </w:rPr>
        <w:t>FHRS research</w:t>
      </w:r>
      <w:r w:rsidR="00D73530" w:rsidRPr="2CBE60CD">
        <w:rPr>
          <w:color w:val="000000"/>
        </w:rPr>
        <w:t xml:space="preserve"> </w:t>
      </w:r>
      <w:r w:rsidR="00A25345" w:rsidRPr="2CBE60CD">
        <w:rPr>
          <w:color w:val="000000"/>
        </w:rPr>
        <w:t xml:space="preserve">such as the </w:t>
      </w:r>
      <w:r w:rsidR="00AC0365" w:rsidRPr="2CBE60CD">
        <w:rPr>
          <w:color w:val="000000"/>
        </w:rPr>
        <w:t>annual</w:t>
      </w:r>
      <w:r w:rsidR="00A25345" w:rsidRPr="2CBE60CD">
        <w:rPr>
          <w:color w:val="000000"/>
        </w:rPr>
        <w:t xml:space="preserve"> FHR</w:t>
      </w:r>
      <w:r w:rsidR="00A14A17" w:rsidRPr="2CBE60CD">
        <w:rPr>
          <w:color w:val="000000"/>
        </w:rPr>
        <w:t xml:space="preserve"> </w:t>
      </w:r>
      <w:r w:rsidR="00A25345" w:rsidRPr="2CBE60CD">
        <w:rPr>
          <w:color w:val="000000"/>
        </w:rPr>
        <w:t>display</w:t>
      </w:r>
      <w:r w:rsidR="00A14A17" w:rsidRPr="2CBE60CD">
        <w:rPr>
          <w:color w:val="000000"/>
        </w:rPr>
        <w:t xml:space="preserve"> audit</w:t>
      </w:r>
      <w:r w:rsidR="00A25345" w:rsidRPr="2CBE60CD">
        <w:rPr>
          <w:color w:val="000000"/>
        </w:rPr>
        <w:t xml:space="preserve"> </w:t>
      </w:r>
      <w:r w:rsidR="003168C7" w:rsidRPr="2CBE60CD">
        <w:rPr>
          <w:color w:val="000000"/>
        </w:rPr>
        <w:t>and business survey</w:t>
      </w:r>
      <w:r w:rsidR="00A25345" w:rsidRPr="2CBE60CD">
        <w:rPr>
          <w:color w:val="000000"/>
        </w:rPr>
        <w:t xml:space="preserve"> was paused during the pandemic</w:t>
      </w:r>
      <w:r w:rsidR="00D73530" w:rsidRPr="2CBE60CD">
        <w:rPr>
          <w:color w:val="000000"/>
        </w:rPr>
        <w:t xml:space="preserve">, meaning this was the latest available </w:t>
      </w:r>
      <w:r w:rsidR="0087332F" w:rsidRPr="2CBE60CD">
        <w:rPr>
          <w:color w:val="000000"/>
        </w:rPr>
        <w:t>published</w:t>
      </w:r>
      <w:r w:rsidR="00D73530" w:rsidRPr="2CBE60CD">
        <w:rPr>
          <w:color w:val="000000"/>
        </w:rPr>
        <w:t xml:space="preserve"> data and insight on the topic</w:t>
      </w:r>
      <w:r w:rsidR="009B2B62">
        <w:rPr>
          <w:color w:val="000000"/>
        </w:rPr>
        <w:t>.</w:t>
      </w:r>
      <w:r w:rsidR="009B2B62">
        <w:rPr>
          <w:color w:val="000000"/>
        </w:rPr>
        <w:br/>
      </w:r>
    </w:p>
    <w:p w14:paraId="303F2B5B" w14:textId="3DB0A8D1" w:rsidR="009B2B62" w:rsidRPr="006A0631" w:rsidRDefault="00095C04">
      <w:pPr>
        <w:pStyle w:val="ListParagraph"/>
        <w:numPr>
          <w:ilvl w:val="0"/>
          <w:numId w:val="7"/>
        </w:numPr>
        <w:tabs>
          <w:tab w:val="left" w:pos="7920"/>
        </w:tabs>
        <w:spacing w:before="240" w:after="60"/>
        <w:rPr>
          <w:color w:val="000000"/>
        </w:rPr>
      </w:pPr>
      <w:r>
        <w:rPr>
          <w:color w:val="000000"/>
        </w:rPr>
        <w:t xml:space="preserve">In addition, </w:t>
      </w:r>
      <w:r w:rsidR="003A7EBF">
        <w:rPr>
          <w:color w:val="000000"/>
        </w:rPr>
        <w:t>for the monetisation of costs for district councils relating to additional monitoring</w:t>
      </w:r>
      <w:r w:rsidR="00854848">
        <w:rPr>
          <w:color w:val="000000"/>
        </w:rPr>
        <w:t xml:space="preserve"> requirements</w:t>
      </w:r>
      <w:r w:rsidR="00A711CD">
        <w:rPr>
          <w:color w:val="000000"/>
        </w:rPr>
        <w:t xml:space="preserve"> </w:t>
      </w:r>
      <w:r w:rsidR="00854848">
        <w:rPr>
          <w:color w:val="000000"/>
        </w:rPr>
        <w:t>for</w:t>
      </w:r>
      <w:r w:rsidR="00A711CD">
        <w:rPr>
          <w:color w:val="000000"/>
        </w:rPr>
        <w:t xml:space="preserve"> online display, the FHRS database was used to obtain the number of businesses rated less than or equal to 2 </w:t>
      </w:r>
      <w:r w:rsidR="00854848">
        <w:rPr>
          <w:color w:val="000000"/>
        </w:rPr>
        <w:t xml:space="preserve">for each of the in-scope categories </w:t>
      </w:r>
      <w:r w:rsidR="00854848">
        <w:rPr>
          <w:color w:val="000000"/>
        </w:rPr>
        <w:lastRenderedPageBreak/>
        <w:t>listed above</w:t>
      </w:r>
      <w:r w:rsidR="00B723ED">
        <w:rPr>
          <w:color w:val="000000"/>
        </w:rPr>
        <w:t>, as of 27</w:t>
      </w:r>
      <w:r w:rsidR="00B723ED" w:rsidRPr="006A0631">
        <w:rPr>
          <w:color w:val="000000"/>
          <w:vertAlign w:val="superscript"/>
        </w:rPr>
        <w:t>th</w:t>
      </w:r>
      <w:r w:rsidR="00B723ED">
        <w:rPr>
          <w:color w:val="000000"/>
        </w:rPr>
        <w:t xml:space="preserve"> May 2022. </w:t>
      </w:r>
      <w:r w:rsidR="00F21A8C">
        <w:rPr>
          <w:color w:val="000000"/>
        </w:rPr>
        <w:t xml:space="preserve">This yielded a total of 125 registered businesses, and </w:t>
      </w:r>
      <w:r w:rsidR="00D85E00">
        <w:rPr>
          <w:color w:val="000000"/>
        </w:rPr>
        <w:t>this figure is used accordingly in calculations for these monitoring costs.</w:t>
      </w:r>
    </w:p>
    <w:p w14:paraId="512D3832" w14:textId="2A29E0DC" w:rsidR="006F0D7D" w:rsidRPr="006B20DE" w:rsidRDefault="006F0D7D" w:rsidP="006647A3">
      <w:pPr>
        <w:pStyle w:val="Heading2"/>
        <w:rPr>
          <w:color w:val="000000"/>
          <w:sz w:val="26"/>
          <w:szCs w:val="26"/>
        </w:rPr>
      </w:pPr>
      <w:r w:rsidRPr="006B20DE">
        <w:t>One</w:t>
      </w:r>
      <w:r w:rsidR="00364FC7" w:rsidRPr="006B20DE">
        <w:t>-</w:t>
      </w:r>
      <w:r w:rsidRPr="006B20DE">
        <w:t xml:space="preserve">off and ongoing costs to </w:t>
      </w:r>
      <w:r w:rsidR="00501C10">
        <w:t>d</w:t>
      </w:r>
      <w:r w:rsidRPr="006B20DE">
        <w:t xml:space="preserve">istrict </w:t>
      </w:r>
      <w:r w:rsidR="00501C10">
        <w:t>c</w:t>
      </w:r>
      <w:r w:rsidRPr="006B20DE">
        <w:t>ouncils</w:t>
      </w:r>
    </w:p>
    <w:p w14:paraId="4ED1C91A" w14:textId="5F9AAFC6" w:rsidR="006F0D7D" w:rsidRPr="0024150B" w:rsidRDefault="006F0D7D" w:rsidP="006647A3">
      <w:pPr>
        <w:pStyle w:val="Heading3"/>
      </w:pPr>
      <w:r w:rsidRPr="0024150B">
        <w:t>One</w:t>
      </w:r>
      <w:r w:rsidR="00CF1D0D">
        <w:t>-</w:t>
      </w:r>
      <w:r w:rsidRPr="0024150B">
        <w:t>off Familiarisation costs</w:t>
      </w:r>
    </w:p>
    <w:p w14:paraId="2B4C0C08" w14:textId="2B76C913" w:rsidR="006F0D7D" w:rsidRPr="0024150B" w:rsidRDefault="006F0D7D" w:rsidP="00534664">
      <w:pPr>
        <w:pStyle w:val="ListParagraph"/>
        <w:numPr>
          <w:ilvl w:val="0"/>
          <w:numId w:val="7"/>
        </w:numPr>
        <w:spacing w:before="240" w:after="60"/>
        <w:rPr>
          <w:color w:val="000000"/>
        </w:rPr>
      </w:pPr>
      <w:r w:rsidRPr="0024150B">
        <w:rPr>
          <w:spacing w:val="-4"/>
          <w:kern w:val="32"/>
        </w:rPr>
        <w:t xml:space="preserve">Currently all </w:t>
      </w:r>
      <w:r w:rsidR="00C576B3" w:rsidRPr="00534664">
        <w:rPr>
          <w:spacing w:val="-4"/>
          <w:kern w:val="32"/>
        </w:rPr>
        <w:t>11</w:t>
      </w:r>
      <w:r w:rsidRPr="00534664">
        <w:rPr>
          <w:spacing w:val="-4"/>
          <w:kern w:val="32"/>
        </w:rPr>
        <w:t xml:space="preserve"> </w:t>
      </w:r>
      <w:r w:rsidR="00501C10">
        <w:rPr>
          <w:spacing w:val="-4"/>
          <w:kern w:val="32"/>
        </w:rPr>
        <w:t>d</w:t>
      </w:r>
      <w:r w:rsidRPr="00534664">
        <w:rPr>
          <w:spacing w:val="-4"/>
          <w:kern w:val="32"/>
        </w:rPr>
        <w:t xml:space="preserve">istrict </w:t>
      </w:r>
      <w:r w:rsidR="00501C10">
        <w:rPr>
          <w:spacing w:val="-4"/>
          <w:kern w:val="32"/>
        </w:rPr>
        <w:t>c</w:t>
      </w:r>
      <w:r w:rsidRPr="00534664">
        <w:rPr>
          <w:spacing w:val="-4"/>
          <w:kern w:val="32"/>
        </w:rPr>
        <w:t>ouncils</w:t>
      </w:r>
      <w:r w:rsidRPr="0024150B">
        <w:rPr>
          <w:spacing w:val="-4"/>
          <w:kern w:val="32"/>
        </w:rPr>
        <w:t xml:space="preserve"> in Northern Ireland are operating the statutory FHRS enforcing each provision within the FHR Act with the exception of the online display requirement. All food officers in Northern Ireland would need to become familiar with the additional requirements under the FHR online display regulations. </w:t>
      </w:r>
      <w:r w:rsidR="00C14BDC" w:rsidRPr="00534664">
        <w:rPr>
          <w:spacing w:val="-4"/>
          <w:kern w:val="32"/>
        </w:rPr>
        <w:t>T</w:t>
      </w:r>
      <w:r w:rsidRPr="00534664">
        <w:rPr>
          <w:spacing w:val="-4"/>
          <w:kern w:val="32"/>
        </w:rPr>
        <w:t>here</w:t>
      </w:r>
      <w:r w:rsidRPr="0024150B">
        <w:rPr>
          <w:spacing w:val="-4"/>
          <w:kern w:val="32"/>
        </w:rPr>
        <w:t xml:space="preserve"> were approximately </w:t>
      </w:r>
      <w:r w:rsidR="00C14BDC">
        <w:rPr>
          <w:spacing w:val="-4"/>
          <w:kern w:val="32"/>
        </w:rPr>
        <w:t>58 Full Time Equivalent (FTE)</w:t>
      </w:r>
      <w:r w:rsidRPr="0024150B">
        <w:rPr>
          <w:spacing w:val="-4"/>
          <w:kern w:val="32"/>
        </w:rPr>
        <w:t xml:space="preserve"> Environmental Health Officer (EHO) posts in Northern Ireland in relation to food </w:t>
      </w:r>
      <w:r w:rsidR="00B94B14">
        <w:rPr>
          <w:spacing w:val="-4"/>
          <w:kern w:val="32"/>
        </w:rPr>
        <w:t xml:space="preserve">hygiene, according to the Local Authority Enforcement Management (LAEMS) annual return for 2019/20, which was the latest </w:t>
      </w:r>
      <w:r w:rsidR="00B94B14" w:rsidRPr="00534664">
        <w:rPr>
          <w:spacing w:val="-4"/>
          <w:kern w:val="32"/>
        </w:rPr>
        <w:t>available</w:t>
      </w:r>
      <w:r w:rsidRPr="00534664">
        <w:rPr>
          <w:spacing w:val="-4"/>
          <w:kern w:val="32"/>
        </w:rPr>
        <w:t>.</w:t>
      </w:r>
      <w:r w:rsidR="00534664">
        <w:rPr>
          <w:spacing w:val="-4"/>
          <w:kern w:val="32"/>
        </w:rPr>
        <w:br/>
      </w:r>
      <w:r w:rsidR="00B94B14">
        <w:rPr>
          <w:spacing w:val="-4"/>
          <w:kern w:val="32"/>
        </w:rPr>
        <w:t xml:space="preserve"> </w:t>
      </w:r>
    </w:p>
    <w:p w14:paraId="723C2F96" w14:textId="4BDCB8BA" w:rsidR="006F0D7D" w:rsidRPr="00FB5CEC" w:rsidRDefault="006F0D7D" w:rsidP="00954A5C">
      <w:pPr>
        <w:pStyle w:val="ListParagraph"/>
        <w:numPr>
          <w:ilvl w:val="0"/>
          <w:numId w:val="7"/>
        </w:numPr>
        <w:spacing w:before="240" w:after="60"/>
        <w:rPr>
          <w:rFonts w:cs="Arial"/>
          <w:color w:val="000000"/>
          <w:lang w:eastAsia="en-GB"/>
        </w:rPr>
      </w:pPr>
      <w:r w:rsidRPr="0024150B">
        <w:rPr>
          <w:spacing w:val="-4"/>
          <w:kern w:val="32"/>
        </w:rPr>
        <w:t xml:space="preserve">Familiarisation costs are quantified by multiplying the wage cost of the relevant official (EHO) with the time spent on familiarisation. It is estimated that it would take an EHO approximately </w:t>
      </w:r>
      <w:r w:rsidRPr="007177BF">
        <w:rPr>
          <w:spacing w:val="-4"/>
          <w:kern w:val="32"/>
        </w:rPr>
        <w:t>30</w:t>
      </w:r>
      <w:r w:rsidRPr="0024150B">
        <w:rPr>
          <w:spacing w:val="-4"/>
          <w:kern w:val="32"/>
        </w:rPr>
        <w:t xml:space="preserve"> minutes to familiarise themselves with the new requirements. The </w:t>
      </w:r>
      <w:r w:rsidRPr="0024150B">
        <w:rPr>
          <w:rFonts w:eastAsia="Calibri"/>
          <w:spacing w:val="-4"/>
          <w:kern w:val="32"/>
          <w:lang w:val="en-US"/>
        </w:rPr>
        <w:t xml:space="preserve">median hourly wage cost of an EHO </w:t>
      </w:r>
      <w:r w:rsidRPr="0024150B">
        <w:rPr>
          <w:rFonts w:eastAsia="Calibri"/>
          <w:color w:val="000000"/>
          <w:spacing w:val="-4"/>
          <w:kern w:val="32"/>
          <w:lang w:val="en-US"/>
        </w:rPr>
        <w:t>is £25.</w:t>
      </w:r>
      <w:r w:rsidRPr="00534664">
        <w:rPr>
          <w:rFonts w:eastAsia="Calibri"/>
          <w:color w:val="000000"/>
          <w:spacing w:val="-4"/>
          <w:kern w:val="32"/>
          <w:lang w:val="en-US"/>
        </w:rPr>
        <w:t>1</w:t>
      </w:r>
      <w:r w:rsidR="00290E08" w:rsidRPr="00534664">
        <w:rPr>
          <w:rFonts w:eastAsia="Calibri"/>
          <w:color w:val="000000"/>
          <w:spacing w:val="-4"/>
          <w:kern w:val="32"/>
          <w:lang w:val="en-US"/>
        </w:rPr>
        <w:t>6</w:t>
      </w:r>
      <w:r w:rsidRPr="0024150B">
        <w:rPr>
          <w:rFonts w:eastAsia="Calibri"/>
          <w:spacing w:val="-4"/>
          <w:kern w:val="32"/>
          <w:lang w:val="en-US"/>
        </w:rPr>
        <w:t>.</w:t>
      </w:r>
      <w:r w:rsidRPr="00BA1772">
        <w:rPr>
          <w:rFonts w:eastAsia="Calibri"/>
          <w:vertAlign w:val="superscript"/>
          <w:lang w:val="en-US"/>
        </w:rPr>
        <w:footnoteReference w:id="16"/>
      </w:r>
      <w:r w:rsidRPr="0024150B">
        <w:rPr>
          <w:rFonts w:ascii="Arial Bold" w:eastAsia="Calibri" w:hAnsi="Arial Bold"/>
          <w:b/>
          <w:bCs/>
          <w:spacing w:val="-4"/>
          <w:kern w:val="32"/>
          <w:sz w:val="32"/>
          <w:szCs w:val="32"/>
          <w:lang w:val="en-US"/>
        </w:rPr>
        <w:t xml:space="preserve"> </w:t>
      </w:r>
      <w:r w:rsidRPr="0024150B">
        <w:rPr>
          <w:spacing w:val="-4"/>
          <w:kern w:val="32"/>
        </w:rPr>
        <w:t>Multiplying this with the time spent on familiarisation and the number of EHOs in Northern Ireland generates a total cost of familiarisation to enforcement of £</w:t>
      </w:r>
      <w:r w:rsidR="00466DBA">
        <w:rPr>
          <w:spacing w:val="-4"/>
          <w:kern w:val="32"/>
        </w:rPr>
        <w:t>680</w:t>
      </w:r>
      <w:r w:rsidR="00901446">
        <w:rPr>
          <w:spacing w:val="-4"/>
          <w:kern w:val="32"/>
        </w:rPr>
        <w:t xml:space="preserve"> in the first year only</w:t>
      </w:r>
      <w:r w:rsidR="00466DBA">
        <w:rPr>
          <w:spacing w:val="-4"/>
          <w:kern w:val="32"/>
        </w:rPr>
        <w:t>, equating to an approximate cost per council of £</w:t>
      </w:r>
      <w:r w:rsidR="00466DBA" w:rsidRPr="00534664">
        <w:rPr>
          <w:spacing w:val="-4"/>
          <w:kern w:val="32"/>
        </w:rPr>
        <w:t>62</w:t>
      </w:r>
      <w:r w:rsidRPr="00534664">
        <w:rPr>
          <w:spacing w:val="-4"/>
          <w:kern w:val="32"/>
        </w:rPr>
        <w:t xml:space="preserve">. </w:t>
      </w:r>
    </w:p>
    <w:p w14:paraId="697735BA" w14:textId="736EA793" w:rsidR="006F0D7D" w:rsidRPr="0024150B" w:rsidRDefault="006F0D7D" w:rsidP="006647A3">
      <w:pPr>
        <w:pStyle w:val="Heading3"/>
      </w:pPr>
      <w:r w:rsidRPr="0024150B">
        <w:t>One</w:t>
      </w:r>
      <w:r w:rsidR="00CF1D0D">
        <w:t>-</w:t>
      </w:r>
      <w:r w:rsidRPr="0024150B">
        <w:t>off cost of increased level of enquiries</w:t>
      </w:r>
    </w:p>
    <w:p w14:paraId="1D550354" w14:textId="4D5A4DBA" w:rsidR="006F0D7D" w:rsidRPr="000E5618" w:rsidRDefault="001E6255" w:rsidP="00534664">
      <w:pPr>
        <w:pStyle w:val="ListParagraph"/>
        <w:numPr>
          <w:ilvl w:val="0"/>
          <w:numId w:val="7"/>
        </w:numPr>
        <w:spacing w:before="240" w:after="60"/>
        <w:rPr>
          <w:color w:val="000000"/>
        </w:rPr>
      </w:pPr>
      <w:r w:rsidRPr="00534664">
        <w:rPr>
          <w:color w:val="000000" w:themeColor="text1"/>
        </w:rPr>
        <w:t>D</w:t>
      </w:r>
      <w:r w:rsidR="005C3359">
        <w:rPr>
          <w:color w:val="000000" w:themeColor="text1"/>
        </w:rPr>
        <w:t xml:space="preserve">istrict </w:t>
      </w:r>
      <w:r w:rsidR="00501C10">
        <w:rPr>
          <w:color w:val="000000" w:themeColor="text1"/>
        </w:rPr>
        <w:t>c</w:t>
      </w:r>
      <w:r w:rsidR="005C3359">
        <w:rPr>
          <w:color w:val="000000" w:themeColor="text1"/>
        </w:rPr>
        <w:t>ouncils</w:t>
      </w:r>
      <w:r>
        <w:rPr>
          <w:color w:val="000000" w:themeColor="text1"/>
        </w:rPr>
        <w:t xml:space="preserve"> </w:t>
      </w:r>
      <w:r w:rsidR="000D2EAC">
        <w:rPr>
          <w:color w:val="000000" w:themeColor="text1"/>
        </w:rPr>
        <w:t xml:space="preserve">have </w:t>
      </w:r>
      <w:r w:rsidR="00FD0999">
        <w:rPr>
          <w:color w:val="000000" w:themeColor="text1"/>
        </w:rPr>
        <w:t xml:space="preserve">informed FSA </w:t>
      </w:r>
      <w:r w:rsidR="00FA71ED">
        <w:rPr>
          <w:color w:val="000000" w:themeColor="text1"/>
        </w:rPr>
        <w:t>tha</w:t>
      </w:r>
      <w:r w:rsidR="006926F7">
        <w:rPr>
          <w:color w:val="000000" w:themeColor="text1"/>
        </w:rPr>
        <w:t xml:space="preserve">t </w:t>
      </w:r>
      <w:r w:rsidR="00EA71A0">
        <w:rPr>
          <w:color w:val="000000" w:themeColor="text1"/>
        </w:rPr>
        <w:t>they</w:t>
      </w:r>
      <w:r w:rsidR="00FF1F65">
        <w:rPr>
          <w:color w:val="000000" w:themeColor="text1"/>
        </w:rPr>
        <w:t xml:space="preserve"> </w:t>
      </w:r>
      <w:r w:rsidR="000D2EAC">
        <w:rPr>
          <w:color w:val="000000" w:themeColor="text1"/>
        </w:rPr>
        <w:t>anticipate</w:t>
      </w:r>
      <w:r w:rsidR="00FF1F65">
        <w:rPr>
          <w:color w:val="000000" w:themeColor="text1"/>
        </w:rPr>
        <w:t xml:space="preserve"> </w:t>
      </w:r>
      <w:r w:rsidR="006F0D7D" w:rsidRPr="69AF4DA1">
        <w:rPr>
          <w:color w:val="000000" w:themeColor="text1"/>
        </w:rPr>
        <w:t xml:space="preserve">an increased level of enquiries </w:t>
      </w:r>
      <w:r w:rsidR="0077140F">
        <w:rPr>
          <w:color w:val="000000" w:themeColor="text1"/>
        </w:rPr>
        <w:t>regarding</w:t>
      </w:r>
      <w:r w:rsidR="006F0D7D" w:rsidRPr="69AF4DA1">
        <w:rPr>
          <w:color w:val="000000" w:themeColor="text1"/>
        </w:rPr>
        <w:t xml:space="preserve"> the online display provision of the scheme from businesses and consumers. </w:t>
      </w:r>
      <w:r w:rsidR="00382CB3">
        <w:rPr>
          <w:color w:val="000000" w:themeColor="text1"/>
        </w:rPr>
        <w:t>For this reason,</w:t>
      </w:r>
      <w:r w:rsidR="00CD0245">
        <w:rPr>
          <w:color w:val="000000" w:themeColor="text1"/>
        </w:rPr>
        <w:t xml:space="preserve"> </w:t>
      </w:r>
      <w:r w:rsidR="00FF1F65">
        <w:rPr>
          <w:color w:val="000000" w:themeColor="text1"/>
        </w:rPr>
        <w:t xml:space="preserve">FSA has produced </w:t>
      </w:r>
      <w:r w:rsidR="00FF1F65" w:rsidRPr="00534664">
        <w:rPr>
          <w:color w:val="000000" w:themeColor="text1"/>
          <w:shd w:val="clear" w:color="auto" w:fill="FFFFFF" w:themeFill="background1"/>
        </w:rPr>
        <w:t>guidance to assist businesses to comply with the new requirements</w:t>
      </w:r>
      <w:r w:rsidR="00CA6533" w:rsidRPr="00534664">
        <w:rPr>
          <w:color w:val="000000" w:themeColor="text1"/>
          <w:shd w:val="clear" w:color="auto" w:fill="FFFFFF" w:themeFill="background1"/>
        </w:rPr>
        <w:t xml:space="preserve"> which will be brought to the attention of </w:t>
      </w:r>
      <w:r w:rsidR="008B4C03" w:rsidRPr="00534664">
        <w:rPr>
          <w:color w:val="000000" w:themeColor="text1"/>
          <w:shd w:val="clear" w:color="auto" w:fill="FFFFFF" w:themeFill="background1"/>
        </w:rPr>
        <w:t>businesses through a targeted social media campaign</w:t>
      </w:r>
      <w:r w:rsidR="00FB14F1" w:rsidRPr="00534664">
        <w:rPr>
          <w:color w:val="000000" w:themeColor="text1"/>
          <w:shd w:val="clear" w:color="auto" w:fill="FFFFFF" w:themeFill="background1"/>
        </w:rPr>
        <w:t xml:space="preserve"> and can be signposted via </w:t>
      </w:r>
      <w:r w:rsidR="00501C10">
        <w:rPr>
          <w:color w:val="000000" w:themeColor="text1"/>
          <w:shd w:val="clear" w:color="auto" w:fill="FFFFFF" w:themeFill="background1"/>
        </w:rPr>
        <w:t>d</w:t>
      </w:r>
      <w:r w:rsidR="00FB14F1" w:rsidRPr="00534664">
        <w:rPr>
          <w:color w:val="000000" w:themeColor="text1"/>
          <w:shd w:val="clear" w:color="auto" w:fill="FFFFFF" w:themeFill="background1"/>
        </w:rPr>
        <w:t xml:space="preserve">istrict </w:t>
      </w:r>
      <w:r w:rsidR="00501C10">
        <w:rPr>
          <w:color w:val="000000" w:themeColor="text1"/>
          <w:shd w:val="clear" w:color="auto" w:fill="FFFFFF" w:themeFill="background1"/>
        </w:rPr>
        <w:t>c</w:t>
      </w:r>
      <w:r w:rsidR="00FB14F1" w:rsidRPr="00534664">
        <w:rPr>
          <w:color w:val="000000" w:themeColor="text1"/>
          <w:shd w:val="clear" w:color="auto" w:fill="FFFFFF" w:themeFill="background1"/>
        </w:rPr>
        <w:t>ouncil websites</w:t>
      </w:r>
      <w:r w:rsidR="008B4C03" w:rsidRPr="00534664">
        <w:rPr>
          <w:color w:val="000000" w:themeColor="text1"/>
          <w:shd w:val="clear" w:color="auto" w:fill="FFFFFF" w:themeFill="background1"/>
        </w:rPr>
        <w:t>.</w:t>
      </w:r>
      <w:r w:rsidR="00AF3079">
        <w:rPr>
          <w:color w:val="000000" w:themeColor="text1"/>
          <w:shd w:val="clear" w:color="auto" w:fill="FFFFFF" w:themeFill="background1"/>
        </w:rPr>
        <w:t xml:space="preserve"> Following engagement with </w:t>
      </w:r>
      <w:r w:rsidR="00501C10">
        <w:rPr>
          <w:color w:val="000000" w:themeColor="text1"/>
          <w:shd w:val="clear" w:color="auto" w:fill="FFFFFF" w:themeFill="background1"/>
        </w:rPr>
        <w:t>d</w:t>
      </w:r>
      <w:r w:rsidR="00AF3079">
        <w:rPr>
          <w:color w:val="000000" w:themeColor="text1"/>
          <w:shd w:val="clear" w:color="auto" w:fill="FFFFFF" w:themeFill="background1"/>
        </w:rPr>
        <w:t xml:space="preserve">istrict </w:t>
      </w:r>
      <w:r w:rsidR="00501C10">
        <w:rPr>
          <w:color w:val="000000" w:themeColor="text1"/>
          <w:shd w:val="clear" w:color="auto" w:fill="FFFFFF" w:themeFill="background1"/>
        </w:rPr>
        <w:t>c</w:t>
      </w:r>
      <w:r w:rsidR="00AF3079">
        <w:rPr>
          <w:color w:val="000000" w:themeColor="text1"/>
          <w:shd w:val="clear" w:color="auto" w:fill="FFFFFF" w:themeFill="background1"/>
        </w:rPr>
        <w:t>ouncils</w:t>
      </w:r>
      <w:r w:rsidR="00105DB6">
        <w:rPr>
          <w:color w:val="000000" w:themeColor="text1"/>
          <w:shd w:val="clear" w:color="auto" w:fill="FFFFFF" w:themeFill="background1"/>
        </w:rPr>
        <w:t xml:space="preserve"> </w:t>
      </w:r>
      <w:r w:rsidR="003811DC">
        <w:rPr>
          <w:color w:val="000000" w:themeColor="text1"/>
          <w:shd w:val="clear" w:color="auto" w:fill="FFFFFF" w:themeFill="background1"/>
        </w:rPr>
        <w:t xml:space="preserve">and </w:t>
      </w:r>
      <w:r w:rsidR="00BA54F3">
        <w:rPr>
          <w:color w:val="000000" w:themeColor="text1"/>
          <w:shd w:val="clear" w:color="auto" w:fill="FFFFFF" w:themeFill="background1"/>
        </w:rPr>
        <w:t>internal discussion between policy and analysts</w:t>
      </w:r>
      <w:r w:rsidR="00105DB6">
        <w:rPr>
          <w:color w:val="000000" w:themeColor="text1"/>
          <w:shd w:val="clear" w:color="auto" w:fill="FFFFFF" w:themeFill="background1"/>
        </w:rPr>
        <w:t xml:space="preserve"> to gauge anticipated additional enquiry times, </w:t>
      </w:r>
      <w:r w:rsidR="00105DB6" w:rsidRPr="00534664">
        <w:rPr>
          <w:color w:val="000000" w:themeColor="text1"/>
          <w:shd w:val="clear" w:color="auto" w:fill="FFFFFF" w:themeFill="background1"/>
        </w:rPr>
        <w:t>i</w:t>
      </w:r>
      <w:r w:rsidR="006F0D7D" w:rsidRPr="00534664">
        <w:rPr>
          <w:color w:val="000000" w:themeColor="text1"/>
          <w:shd w:val="clear" w:color="auto" w:fill="FFFFFF" w:themeFill="background1"/>
        </w:rPr>
        <w:t xml:space="preserve">t is estimated that each </w:t>
      </w:r>
      <w:r w:rsidR="00501C10">
        <w:rPr>
          <w:color w:val="000000" w:themeColor="text1"/>
          <w:shd w:val="clear" w:color="auto" w:fill="FFFFFF" w:themeFill="background1"/>
        </w:rPr>
        <w:t>d</w:t>
      </w:r>
      <w:r w:rsidR="006F0D7D" w:rsidRPr="00534664">
        <w:rPr>
          <w:color w:val="000000" w:themeColor="text1"/>
          <w:shd w:val="clear" w:color="auto" w:fill="FFFFFF" w:themeFill="background1"/>
        </w:rPr>
        <w:t xml:space="preserve">istrict </w:t>
      </w:r>
      <w:r w:rsidR="00501C10">
        <w:rPr>
          <w:color w:val="000000" w:themeColor="text1"/>
          <w:shd w:val="clear" w:color="auto" w:fill="FFFFFF" w:themeFill="background1"/>
        </w:rPr>
        <w:t>c</w:t>
      </w:r>
      <w:r w:rsidR="006F0D7D" w:rsidRPr="00534664">
        <w:rPr>
          <w:color w:val="000000" w:themeColor="text1"/>
          <w:shd w:val="clear" w:color="auto" w:fill="FFFFFF" w:themeFill="background1"/>
        </w:rPr>
        <w:t xml:space="preserve">ouncil </w:t>
      </w:r>
      <w:r w:rsidR="00105DB6" w:rsidRPr="00534664">
        <w:rPr>
          <w:color w:val="000000" w:themeColor="text1"/>
          <w:shd w:val="clear" w:color="auto" w:fill="FFFFFF" w:themeFill="background1"/>
        </w:rPr>
        <w:t>w</w:t>
      </w:r>
      <w:r w:rsidR="00676707" w:rsidRPr="00534664">
        <w:rPr>
          <w:color w:val="000000" w:themeColor="text1"/>
          <w:shd w:val="clear" w:color="auto" w:fill="FFFFFF" w:themeFill="background1"/>
        </w:rPr>
        <w:t xml:space="preserve">ould receive </w:t>
      </w:r>
      <w:r w:rsidR="006F0D7D" w:rsidRPr="00534664">
        <w:rPr>
          <w:color w:val="000000" w:themeColor="text1"/>
          <w:shd w:val="clear" w:color="auto" w:fill="FFFFFF" w:themeFill="background1"/>
        </w:rPr>
        <w:t xml:space="preserve">an additional </w:t>
      </w:r>
      <w:r w:rsidR="006D53AB" w:rsidRPr="00534664">
        <w:rPr>
          <w:color w:val="000000" w:themeColor="text1"/>
          <w:shd w:val="clear" w:color="auto" w:fill="FFFFFF" w:themeFill="background1"/>
        </w:rPr>
        <w:t xml:space="preserve">20 minutes of </w:t>
      </w:r>
      <w:r w:rsidR="00D42405" w:rsidRPr="00534664">
        <w:rPr>
          <w:color w:val="000000" w:themeColor="text1"/>
          <w:shd w:val="clear" w:color="auto" w:fill="FFFFFF" w:themeFill="background1"/>
        </w:rPr>
        <w:t>enquiries</w:t>
      </w:r>
      <w:r w:rsidR="00120714" w:rsidRPr="00534664">
        <w:rPr>
          <w:color w:val="000000" w:themeColor="text1"/>
          <w:shd w:val="clear" w:color="auto" w:fill="FFFFFF" w:themeFill="background1"/>
        </w:rPr>
        <w:t>, 5 days a week</w:t>
      </w:r>
      <w:r w:rsidR="00BB5BB5">
        <w:rPr>
          <w:color w:val="000000" w:themeColor="text1"/>
          <w:shd w:val="clear" w:color="auto" w:fill="FFFFFF" w:themeFill="background1"/>
        </w:rPr>
        <w:t xml:space="preserve"> for the </w:t>
      </w:r>
      <w:r w:rsidR="00326262" w:rsidRPr="00534664">
        <w:rPr>
          <w:color w:val="000000" w:themeColor="text1"/>
          <w:shd w:val="clear" w:color="auto" w:fill="FFFFFF" w:themeFill="background1"/>
        </w:rPr>
        <w:t>12</w:t>
      </w:r>
      <w:r w:rsidR="00B0266D" w:rsidRPr="00534664">
        <w:rPr>
          <w:color w:val="000000" w:themeColor="text1"/>
          <w:shd w:val="clear" w:color="auto" w:fill="FFFFFF" w:themeFill="background1"/>
        </w:rPr>
        <w:t xml:space="preserve"> </w:t>
      </w:r>
      <w:r w:rsidR="00676707" w:rsidRPr="00534664">
        <w:rPr>
          <w:color w:val="000000" w:themeColor="text1"/>
          <w:shd w:val="clear" w:color="auto" w:fill="FFFFFF" w:themeFill="background1"/>
        </w:rPr>
        <w:t xml:space="preserve">weeks </w:t>
      </w:r>
      <w:r w:rsidR="00B0266D" w:rsidRPr="00534664">
        <w:rPr>
          <w:color w:val="000000" w:themeColor="text1"/>
          <w:shd w:val="clear" w:color="auto" w:fill="FFFFFF" w:themeFill="background1"/>
        </w:rPr>
        <w:t xml:space="preserve">prior to the regulations coming into operation </w:t>
      </w:r>
      <w:r w:rsidR="00676707" w:rsidRPr="00534664">
        <w:rPr>
          <w:color w:val="000000" w:themeColor="text1"/>
          <w:shd w:val="clear" w:color="auto" w:fill="FFFFFF" w:themeFill="background1"/>
        </w:rPr>
        <w:t xml:space="preserve">and </w:t>
      </w:r>
      <w:r w:rsidR="00BB5BB5">
        <w:rPr>
          <w:color w:val="000000" w:themeColor="text1"/>
          <w:shd w:val="clear" w:color="auto" w:fill="FFFFFF" w:themeFill="background1"/>
        </w:rPr>
        <w:t xml:space="preserve">the proceeding </w:t>
      </w:r>
      <w:r w:rsidR="00676707" w:rsidRPr="00534664">
        <w:rPr>
          <w:color w:val="000000" w:themeColor="text1"/>
          <w:shd w:val="clear" w:color="auto" w:fill="FFFFFF" w:themeFill="background1"/>
        </w:rPr>
        <w:t>24 weeks after the regulations come into operation.</w:t>
      </w:r>
      <w:r w:rsidR="00105DB6">
        <w:rPr>
          <w:color w:val="000000" w:themeColor="text1"/>
          <w:shd w:val="clear" w:color="auto" w:fill="FFFFFF" w:themeFill="background1"/>
        </w:rPr>
        <w:t xml:space="preserve"> This represents a total </w:t>
      </w:r>
      <w:r w:rsidR="000372D0">
        <w:rPr>
          <w:color w:val="000000" w:themeColor="text1"/>
          <w:shd w:val="clear" w:color="auto" w:fill="FFFFFF" w:themeFill="background1"/>
        </w:rPr>
        <w:t>increase in time spent on enquiries of 60 hours.</w:t>
      </w:r>
      <w:r w:rsidR="00676707" w:rsidRPr="00534664">
        <w:rPr>
          <w:color w:val="000000" w:themeColor="text1"/>
          <w:shd w:val="clear" w:color="auto" w:fill="FFFFFF" w:themeFill="background1"/>
        </w:rPr>
        <w:t xml:space="preserve">  The</w:t>
      </w:r>
      <w:r w:rsidR="006F0D7D" w:rsidRPr="69AF4DA1">
        <w:rPr>
          <w:color w:val="000000" w:themeColor="text1"/>
        </w:rPr>
        <w:t xml:space="preserve"> cost can be monetised by multiplying the</w:t>
      </w:r>
      <w:r w:rsidR="000372D0">
        <w:rPr>
          <w:color w:val="000000" w:themeColor="text1"/>
        </w:rPr>
        <w:t>se additional required hours</w:t>
      </w:r>
      <w:r w:rsidR="006F0D7D" w:rsidRPr="69AF4DA1" w:rsidDel="000372D0">
        <w:rPr>
          <w:color w:val="000000" w:themeColor="text1"/>
        </w:rPr>
        <w:t xml:space="preserve"> </w:t>
      </w:r>
      <w:r w:rsidR="006F0D7D" w:rsidRPr="69AF4DA1">
        <w:rPr>
          <w:color w:val="000000" w:themeColor="text1"/>
        </w:rPr>
        <w:t>by the wage cost of the official handling these enquiries; which would be an EHO. The median hourly average wage cost of an EHO is £25.</w:t>
      </w:r>
      <w:r w:rsidR="006F0D7D" w:rsidRPr="00534664">
        <w:rPr>
          <w:color w:val="000000" w:themeColor="text1"/>
        </w:rPr>
        <w:t>1</w:t>
      </w:r>
      <w:r w:rsidR="00B17E1B" w:rsidRPr="00534664">
        <w:rPr>
          <w:color w:val="000000" w:themeColor="text1"/>
        </w:rPr>
        <w:t>6</w:t>
      </w:r>
      <w:r w:rsidR="006F0D7D" w:rsidRPr="00534664">
        <w:rPr>
          <w:color w:val="000000" w:themeColor="text1"/>
          <w:vertAlign w:val="superscript"/>
        </w:rPr>
        <w:t>5</w:t>
      </w:r>
      <w:r w:rsidR="006F0D7D" w:rsidRPr="00534664">
        <w:rPr>
          <w:color w:val="000000" w:themeColor="text1"/>
        </w:rPr>
        <w:t>.</w:t>
      </w:r>
      <w:r w:rsidR="006F0D7D" w:rsidRPr="69AF4DA1">
        <w:rPr>
          <w:color w:val="000000" w:themeColor="text1"/>
        </w:rPr>
        <w:t xml:space="preserve"> Multiplying this wage cost with the additional number of hours results in a total one</w:t>
      </w:r>
      <w:r w:rsidR="00CF21B3">
        <w:rPr>
          <w:color w:val="000000" w:themeColor="text1"/>
        </w:rPr>
        <w:t>-</w:t>
      </w:r>
      <w:r w:rsidR="006F0D7D" w:rsidRPr="69AF4DA1">
        <w:rPr>
          <w:color w:val="000000" w:themeColor="text1"/>
        </w:rPr>
        <w:t>off cost</w:t>
      </w:r>
      <w:r w:rsidR="00504263">
        <w:rPr>
          <w:color w:val="000000" w:themeColor="text1"/>
        </w:rPr>
        <w:t xml:space="preserve"> to the 11 </w:t>
      </w:r>
      <w:r w:rsidR="00501C10">
        <w:rPr>
          <w:color w:val="000000" w:themeColor="text1"/>
        </w:rPr>
        <w:t>d</w:t>
      </w:r>
      <w:r w:rsidR="00504263">
        <w:rPr>
          <w:color w:val="000000" w:themeColor="text1"/>
        </w:rPr>
        <w:t xml:space="preserve">istrict </w:t>
      </w:r>
      <w:r w:rsidR="00501C10">
        <w:rPr>
          <w:color w:val="000000" w:themeColor="text1"/>
        </w:rPr>
        <w:t>c</w:t>
      </w:r>
      <w:r w:rsidR="00504263">
        <w:rPr>
          <w:color w:val="000000" w:themeColor="text1"/>
        </w:rPr>
        <w:t>ouncils</w:t>
      </w:r>
      <w:r w:rsidR="0025244D">
        <w:rPr>
          <w:color w:val="000000" w:themeColor="text1"/>
        </w:rPr>
        <w:t xml:space="preserve"> of</w:t>
      </w:r>
      <w:r w:rsidR="00504263">
        <w:rPr>
          <w:color w:val="000000" w:themeColor="text1"/>
        </w:rPr>
        <w:t xml:space="preserve"> £1</w:t>
      </w:r>
      <w:r w:rsidR="00595E48">
        <w:rPr>
          <w:color w:val="000000" w:themeColor="text1"/>
        </w:rPr>
        <w:t>7,000</w:t>
      </w:r>
      <w:r w:rsidR="00504263">
        <w:rPr>
          <w:color w:val="000000" w:themeColor="text1"/>
        </w:rPr>
        <w:t>.</w:t>
      </w:r>
      <w:r w:rsidR="0025244D">
        <w:rPr>
          <w:color w:val="000000" w:themeColor="text1"/>
        </w:rPr>
        <w:t xml:space="preserve"> </w:t>
      </w:r>
      <w:r w:rsidR="006F0D7D" w:rsidRPr="00534664" w:rsidDel="0025244D">
        <w:rPr>
          <w:rFonts w:eastAsia="Arial"/>
          <w:lang w:val="en-US"/>
        </w:rPr>
        <w:t xml:space="preserve"> </w:t>
      </w:r>
    </w:p>
    <w:p w14:paraId="322565B6" w14:textId="57A5390E" w:rsidR="006F0D7D" w:rsidRPr="00BF69FA" w:rsidRDefault="006F0D7D" w:rsidP="006647A3">
      <w:pPr>
        <w:pStyle w:val="Heading3"/>
      </w:pPr>
      <w:r w:rsidRPr="00BF69FA">
        <w:t>One</w:t>
      </w:r>
      <w:r w:rsidR="00CF1D0D">
        <w:t>-</w:t>
      </w:r>
      <w:r w:rsidRPr="00BF69FA">
        <w:t>off cost of informing food businesses</w:t>
      </w:r>
    </w:p>
    <w:p w14:paraId="3E7EE74E" w14:textId="1313AA9A" w:rsidR="006F0D7D" w:rsidRDefault="006F0D7D" w:rsidP="00534664">
      <w:pPr>
        <w:pStyle w:val="ListParagraph"/>
        <w:numPr>
          <w:ilvl w:val="0"/>
          <w:numId w:val="7"/>
        </w:numPr>
        <w:tabs>
          <w:tab w:val="right" w:pos="10206"/>
        </w:tabs>
        <w:spacing w:before="240" w:after="60"/>
        <w:outlineLvl w:val="0"/>
      </w:pPr>
      <w:r w:rsidRPr="00BA1772">
        <w:rPr>
          <w:spacing w:val="-4"/>
          <w:kern w:val="32"/>
        </w:rPr>
        <w:t xml:space="preserve">The total cost of informing businesses </w:t>
      </w:r>
      <w:r>
        <w:rPr>
          <w:spacing w:val="-4"/>
          <w:kern w:val="32"/>
        </w:rPr>
        <w:t>is</w:t>
      </w:r>
      <w:r w:rsidRPr="00BA1772">
        <w:rPr>
          <w:spacing w:val="-4"/>
          <w:kern w:val="32"/>
        </w:rPr>
        <w:t xml:space="preserve"> calculated as a </w:t>
      </w:r>
      <w:r w:rsidRPr="00534664">
        <w:rPr>
          <w:spacing w:val="-4"/>
          <w:kern w:val="32"/>
        </w:rPr>
        <w:t>time cost plus a postage cost</w:t>
      </w:r>
      <w:r w:rsidRPr="00BA1772">
        <w:rPr>
          <w:spacing w:val="-4"/>
          <w:kern w:val="32"/>
        </w:rPr>
        <w:t xml:space="preserve">. The time cost </w:t>
      </w:r>
      <w:r w:rsidR="002C5431">
        <w:rPr>
          <w:spacing w:val="-4"/>
          <w:kern w:val="32"/>
        </w:rPr>
        <w:t>consists of</w:t>
      </w:r>
      <w:r w:rsidR="00757E28">
        <w:rPr>
          <w:spacing w:val="-4"/>
          <w:kern w:val="32"/>
        </w:rPr>
        <w:t xml:space="preserve"> </w:t>
      </w:r>
      <w:r w:rsidR="005A5C16">
        <w:rPr>
          <w:spacing w:val="-4"/>
          <w:kern w:val="32"/>
        </w:rPr>
        <w:t>the p</w:t>
      </w:r>
      <w:r w:rsidR="00F917E9">
        <w:rPr>
          <w:spacing w:val="-4"/>
          <w:kern w:val="32"/>
        </w:rPr>
        <w:t xml:space="preserve">reparation time </w:t>
      </w:r>
      <w:r w:rsidR="0074301D">
        <w:rPr>
          <w:spacing w:val="-4"/>
          <w:kern w:val="32"/>
        </w:rPr>
        <w:t xml:space="preserve">involved in getting the letter ready to send out. These time costs are </w:t>
      </w:r>
      <w:r w:rsidRPr="00BA1772">
        <w:rPr>
          <w:spacing w:val="-4"/>
          <w:kern w:val="32"/>
        </w:rPr>
        <w:t>derived by multiplying the median hourly wage cost of the administrative staff</w:t>
      </w:r>
      <w:r>
        <w:rPr>
          <w:rStyle w:val="FootnoteReference"/>
          <w:spacing w:val="-4"/>
          <w:kern w:val="32"/>
        </w:rPr>
        <w:footnoteReference w:id="17"/>
      </w:r>
      <w:r w:rsidRPr="00BA1772">
        <w:rPr>
          <w:spacing w:val="-4"/>
          <w:kern w:val="32"/>
        </w:rPr>
        <w:t xml:space="preserve"> </w:t>
      </w:r>
      <w:r w:rsidR="0074301D">
        <w:rPr>
          <w:spacing w:val="-4"/>
          <w:kern w:val="32"/>
        </w:rPr>
        <w:t xml:space="preserve">involved in the preparation time </w:t>
      </w:r>
      <w:r w:rsidRPr="00BA1772">
        <w:rPr>
          <w:spacing w:val="-4"/>
          <w:kern w:val="32"/>
        </w:rPr>
        <w:t>(£1</w:t>
      </w:r>
      <w:r w:rsidR="008A35EE">
        <w:rPr>
          <w:spacing w:val="-4"/>
          <w:kern w:val="32"/>
        </w:rPr>
        <w:t>7.</w:t>
      </w:r>
      <w:r w:rsidR="008A35EE" w:rsidRPr="00534664">
        <w:rPr>
          <w:spacing w:val="-4"/>
          <w:kern w:val="32"/>
        </w:rPr>
        <w:t>01</w:t>
      </w:r>
      <w:r w:rsidRPr="00BA1772">
        <w:rPr>
          <w:spacing w:val="-4"/>
          <w:kern w:val="32"/>
        </w:rPr>
        <w:t>) with the</w:t>
      </w:r>
      <w:r w:rsidR="0074301D">
        <w:rPr>
          <w:spacing w:val="-4"/>
          <w:kern w:val="32"/>
        </w:rPr>
        <w:t xml:space="preserve"> assumed</w:t>
      </w:r>
      <w:r w:rsidRPr="00BA1772">
        <w:rPr>
          <w:spacing w:val="-4"/>
          <w:kern w:val="32"/>
        </w:rPr>
        <w:t xml:space="preserve"> time required per business</w:t>
      </w:r>
      <w:r w:rsidR="008A35EE">
        <w:rPr>
          <w:spacing w:val="-4"/>
          <w:kern w:val="32"/>
        </w:rPr>
        <w:t xml:space="preserve"> (5 minutes</w:t>
      </w:r>
      <w:r w:rsidR="00F849CE">
        <w:rPr>
          <w:spacing w:val="-4"/>
          <w:kern w:val="32"/>
        </w:rPr>
        <w:t xml:space="preserve"> to produce and post the letter</w:t>
      </w:r>
      <w:r w:rsidR="00223EC5">
        <w:rPr>
          <w:spacing w:val="-4"/>
          <w:kern w:val="32"/>
        </w:rPr>
        <w:t>)</w:t>
      </w:r>
      <w:r w:rsidR="00F849CE">
        <w:rPr>
          <w:spacing w:val="-4"/>
          <w:kern w:val="32"/>
        </w:rPr>
        <w:t>,</w:t>
      </w:r>
      <w:r w:rsidRPr="00BA1772">
        <w:rPr>
          <w:spacing w:val="-4"/>
          <w:kern w:val="32"/>
        </w:rPr>
        <w:t xml:space="preserve"> and the number of businesses affected</w:t>
      </w:r>
      <w:r w:rsidR="00F849CE">
        <w:rPr>
          <w:spacing w:val="-4"/>
          <w:kern w:val="32"/>
        </w:rPr>
        <w:t xml:space="preserve"> (</w:t>
      </w:r>
      <w:r w:rsidR="0000684E">
        <w:rPr>
          <w:spacing w:val="-4"/>
          <w:kern w:val="32"/>
        </w:rPr>
        <w:t>12,779 businesses in FHRS categories deemed within scope).</w:t>
      </w:r>
      <w:r w:rsidR="00B52FCB">
        <w:rPr>
          <w:spacing w:val="-4"/>
          <w:kern w:val="32"/>
        </w:rPr>
        <w:t xml:space="preserve"> Therefore</w:t>
      </w:r>
      <w:r w:rsidR="003251D4">
        <w:rPr>
          <w:spacing w:val="-4"/>
          <w:kern w:val="32"/>
        </w:rPr>
        <w:t>,</w:t>
      </w:r>
      <w:r w:rsidR="00B52FCB">
        <w:rPr>
          <w:spacing w:val="-4"/>
          <w:kern w:val="32"/>
        </w:rPr>
        <w:t xml:space="preserve"> the total </w:t>
      </w:r>
      <w:r w:rsidR="00774330">
        <w:rPr>
          <w:spacing w:val="-4"/>
          <w:kern w:val="32"/>
        </w:rPr>
        <w:t>time</w:t>
      </w:r>
      <w:r w:rsidR="00B52FCB">
        <w:rPr>
          <w:spacing w:val="-4"/>
          <w:kern w:val="32"/>
        </w:rPr>
        <w:t xml:space="preserve"> costs are £18,000</w:t>
      </w:r>
      <w:r w:rsidR="00B52FCB" w:rsidRPr="00F44906">
        <w:rPr>
          <w:spacing w:val="-4"/>
          <w:kern w:val="32"/>
        </w:rPr>
        <w:t>.</w:t>
      </w:r>
      <w:r w:rsidR="002C5431" w:rsidRPr="00534664">
        <w:rPr>
          <w:color w:val="000000" w:themeColor="text1"/>
          <w:spacing w:val="-4"/>
          <w:kern w:val="32"/>
        </w:rPr>
        <w:t xml:space="preserve"> </w:t>
      </w:r>
      <w:r w:rsidRPr="00BA1772">
        <w:rPr>
          <w:spacing w:val="-4"/>
          <w:kern w:val="32"/>
        </w:rPr>
        <w:t xml:space="preserve">The postage cost </w:t>
      </w:r>
      <w:r>
        <w:rPr>
          <w:spacing w:val="-4"/>
          <w:kern w:val="32"/>
        </w:rPr>
        <w:t xml:space="preserve">(£0.66) and stationery </w:t>
      </w:r>
      <w:r w:rsidRPr="00534664">
        <w:rPr>
          <w:spacing w:val="-4"/>
          <w:kern w:val="32"/>
        </w:rPr>
        <w:t>cost</w:t>
      </w:r>
      <w:r w:rsidR="00F12BC7">
        <w:rPr>
          <w:spacing w:val="-4"/>
          <w:kern w:val="32"/>
        </w:rPr>
        <w:t>s</w:t>
      </w:r>
      <w:r>
        <w:rPr>
          <w:spacing w:val="-4"/>
          <w:kern w:val="32"/>
        </w:rPr>
        <w:t xml:space="preserve"> </w:t>
      </w:r>
      <w:r>
        <w:rPr>
          <w:spacing w:val="-4"/>
          <w:kern w:val="32"/>
        </w:rPr>
        <w:lastRenderedPageBreak/>
        <w:t>(£0.10)</w:t>
      </w:r>
      <w:r w:rsidRPr="00BA1772">
        <w:rPr>
          <w:spacing w:val="-4"/>
          <w:kern w:val="32"/>
        </w:rPr>
        <w:t xml:space="preserve"> </w:t>
      </w:r>
      <w:r w:rsidR="00F12BC7">
        <w:rPr>
          <w:spacing w:val="-4"/>
          <w:kern w:val="32"/>
        </w:rPr>
        <w:t>are</w:t>
      </w:r>
      <w:r w:rsidRPr="00BA1772">
        <w:rPr>
          <w:spacing w:val="-4"/>
          <w:kern w:val="32"/>
        </w:rPr>
        <w:t xml:space="preserve"> calculated by multiplying the number of businesses by the</w:t>
      </w:r>
      <w:r w:rsidR="00444929">
        <w:rPr>
          <w:spacing w:val="-4"/>
          <w:kern w:val="32"/>
        </w:rPr>
        <w:t>ir</w:t>
      </w:r>
      <w:r w:rsidR="00F12BC7">
        <w:rPr>
          <w:spacing w:val="-4"/>
          <w:kern w:val="32"/>
        </w:rPr>
        <w:t xml:space="preserve"> respective costs per letter</w:t>
      </w:r>
      <w:r w:rsidR="00444929">
        <w:rPr>
          <w:spacing w:val="-4"/>
          <w:kern w:val="32"/>
        </w:rPr>
        <w:t>, with the</w:t>
      </w:r>
      <w:r w:rsidRPr="00BA1772">
        <w:rPr>
          <w:spacing w:val="-4"/>
          <w:kern w:val="32"/>
        </w:rPr>
        <w:t xml:space="preserve"> sum of the postage and </w:t>
      </w:r>
      <w:r w:rsidRPr="00534664">
        <w:rPr>
          <w:spacing w:val="-4"/>
          <w:kern w:val="32"/>
        </w:rPr>
        <w:t>station</w:t>
      </w:r>
      <w:r w:rsidR="00F77E23" w:rsidRPr="00534664">
        <w:rPr>
          <w:spacing w:val="-4"/>
          <w:kern w:val="32"/>
        </w:rPr>
        <w:t>e</w:t>
      </w:r>
      <w:r w:rsidRPr="00534664">
        <w:rPr>
          <w:spacing w:val="-4"/>
          <w:kern w:val="32"/>
        </w:rPr>
        <w:t>ry</w:t>
      </w:r>
      <w:r w:rsidRPr="00BA1772">
        <w:rPr>
          <w:spacing w:val="-4"/>
          <w:kern w:val="32"/>
        </w:rPr>
        <w:t xml:space="preserve"> costs</w:t>
      </w:r>
      <w:r w:rsidR="00444929">
        <w:rPr>
          <w:spacing w:val="-4"/>
          <w:kern w:val="32"/>
        </w:rPr>
        <w:t xml:space="preserve"> totalling</w:t>
      </w:r>
      <w:r w:rsidRPr="00BA1772">
        <w:rPr>
          <w:spacing w:val="-4"/>
          <w:kern w:val="32"/>
        </w:rPr>
        <w:t xml:space="preserve"> £</w:t>
      </w:r>
      <w:r w:rsidR="00FE6152" w:rsidRPr="00534664">
        <w:rPr>
          <w:spacing w:val="-4"/>
          <w:kern w:val="32"/>
        </w:rPr>
        <w:t>10,000</w:t>
      </w:r>
      <w:r w:rsidRPr="00534664">
        <w:rPr>
          <w:spacing w:val="-4"/>
          <w:kern w:val="32"/>
        </w:rPr>
        <w:t xml:space="preserve">. </w:t>
      </w:r>
      <w:r w:rsidRPr="00BA1772">
        <w:rPr>
          <w:spacing w:val="-4"/>
          <w:kern w:val="32"/>
        </w:rPr>
        <w:t xml:space="preserve">This results in a total cost of informing businesses of </w:t>
      </w:r>
      <w:r w:rsidRPr="00A076CF">
        <w:rPr>
          <w:spacing w:val="-4"/>
          <w:kern w:val="32"/>
        </w:rPr>
        <w:t>£</w:t>
      </w:r>
      <w:r w:rsidR="00FE6152" w:rsidRPr="00534664">
        <w:rPr>
          <w:spacing w:val="-4"/>
          <w:kern w:val="32"/>
        </w:rPr>
        <w:t>2</w:t>
      </w:r>
      <w:r w:rsidR="00774330">
        <w:rPr>
          <w:spacing w:val="-4"/>
          <w:kern w:val="32"/>
        </w:rPr>
        <w:t>8</w:t>
      </w:r>
      <w:r w:rsidR="00FE6152" w:rsidRPr="00534664">
        <w:rPr>
          <w:spacing w:val="-4"/>
          <w:kern w:val="32"/>
        </w:rPr>
        <w:t>,000</w:t>
      </w:r>
      <w:r w:rsidR="00D37998">
        <w:rPr>
          <w:spacing w:val="-4"/>
          <w:kern w:val="32"/>
        </w:rPr>
        <w:t xml:space="preserve"> after</w:t>
      </w:r>
      <w:r w:rsidR="006676CE">
        <w:rPr>
          <w:spacing w:val="-4"/>
          <w:kern w:val="32"/>
        </w:rPr>
        <w:t xml:space="preserve"> a</w:t>
      </w:r>
      <w:r w:rsidR="009C75AF">
        <w:rPr>
          <w:spacing w:val="-4"/>
          <w:kern w:val="32"/>
        </w:rPr>
        <w:t>ggregating the time</w:t>
      </w:r>
      <w:r w:rsidR="002E16DB">
        <w:rPr>
          <w:spacing w:val="-4"/>
          <w:kern w:val="32"/>
        </w:rPr>
        <w:t xml:space="preserve">, postage and stationery </w:t>
      </w:r>
      <w:r w:rsidR="002D0ED0" w:rsidRPr="00534664">
        <w:rPr>
          <w:spacing w:val="-4"/>
          <w:kern w:val="32"/>
        </w:rPr>
        <w:t>costs</w:t>
      </w:r>
      <w:r w:rsidRPr="00A076CF" w:rsidDel="00FE6152">
        <w:rPr>
          <w:spacing w:val="-4"/>
          <w:kern w:val="32"/>
        </w:rPr>
        <w:t>.</w:t>
      </w:r>
      <w:r w:rsidRPr="00BA1772">
        <w:rPr>
          <w:spacing w:val="-4"/>
          <w:kern w:val="32"/>
        </w:rPr>
        <w:t xml:space="preserve"> </w:t>
      </w:r>
    </w:p>
    <w:p w14:paraId="68637EE2" w14:textId="77777777" w:rsidR="005634FF" w:rsidRPr="006B20DE" w:rsidRDefault="005634FF" w:rsidP="006647A3">
      <w:pPr>
        <w:pStyle w:val="Heading3"/>
      </w:pPr>
      <w:r>
        <w:t>One-off cost of updating IT systems and procedures</w:t>
      </w:r>
    </w:p>
    <w:p w14:paraId="4C078090" w14:textId="335C7858" w:rsidR="005634FF" w:rsidRDefault="005634FF" w:rsidP="005634FF">
      <w:pPr>
        <w:pStyle w:val="ListParagraph"/>
        <w:numPr>
          <w:ilvl w:val="0"/>
          <w:numId w:val="7"/>
        </w:numPr>
        <w:tabs>
          <w:tab w:val="left" w:pos="5790"/>
        </w:tabs>
        <w:spacing w:before="240" w:after="60"/>
      </w:pPr>
      <w:r w:rsidRPr="2CBE60CD">
        <w:rPr>
          <w:color w:val="000000" w:themeColor="text1"/>
        </w:rPr>
        <w:t xml:space="preserve">Feedback from district councils has indicated that some Environmental Health Departments do not currently have access to social media websites such as Facebook and Instagram. </w:t>
      </w:r>
      <w:r>
        <w:t xml:space="preserve">In order to monitor compliance with the proposed regulations it is essential that authorised food control officers have access to all platforms where food is sold online. It is not clear how many district councils will require extra permissions, however if we assume it takes 15 minutes per officer (58 food officers across 11 district councils) the approximate total cost of allocating the necessary permissions is </w:t>
      </w:r>
      <w:r w:rsidRPr="0032457C">
        <w:t>£</w:t>
      </w:r>
      <w:r w:rsidRPr="006B20DE">
        <w:t>260</w:t>
      </w:r>
      <w:r w:rsidRPr="00CB36FE">
        <w:t>.</w:t>
      </w:r>
      <w:r>
        <w:t xml:space="preserve"> This is calculated by multiplying the uplifted wage of an IT user support technician (£18.01)</w:t>
      </w:r>
      <w:r w:rsidR="00B91FB2">
        <w:rPr>
          <w:rStyle w:val="FootnoteReference"/>
        </w:rPr>
        <w:footnoteReference w:id="18"/>
      </w:r>
      <w:r>
        <w:t xml:space="preserve"> by the assumed time taken to grant access (15 minutes) and the number of FTE who require this access (58). </w:t>
      </w:r>
      <w:r>
        <w:br/>
      </w:r>
    </w:p>
    <w:p w14:paraId="56DBF3B2" w14:textId="77777777" w:rsidR="005634FF" w:rsidRDefault="005634FF" w:rsidP="005634FF">
      <w:pPr>
        <w:pStyle w:val="ListParagraph"/>
        <w:numPr>
          <w:ilvl w:val="0"/>
          <w:numId w:val="7"/>
        </w:numPr>
        <w:tabs>
          <w:tab w:val="left" w:pos="5790"/>
        </w:tabs>
        <w:spacing w:before="240" w:after="60"/>
        <w:rPr>
          <w:color w:val="000000"/>
        </w:rPr>
      </w:pPr>
      <w:r w:rsidRPr="2CBE60CD">
        <w:rPr>
          <w:color w:val="000000" w:themeColor="text1"/>
        </w:rPr>
        <w:t>The proposed legislation will also require the addition of codes to the district councils’ Management Information Systems (MIS) which allow non-display of FHRs online or invalid display of FHRs online to be recorded. The creation of new codes and disseminating to food officers will cost approximately £2,100, assuming this code generation process will take 7.5 hours of EHO time at an uplifted hourly wage rate of £25.16.</w:t>
      </w:r>
      <w:r>
        <w:br/>
      </w:r>
    </w:p>
    <w:p w14:paraId="4F20D645" w14:textId="77777777" w:rsidR="005634FF" w:rsidRDefault="005634FF" w:rsidP="005634FF">
      <w:pPr>
        <w:pStyle w:val="ListParagraph"/>
        <w:numPr>
          <w:ilvl w:val="0"/>
          <w:numId w:val="7"/>
        </w:numPr>
        <w:tabs>
          <w:tab w:val="left" w:pos="5790"/>
        </w:tabs>
        <w:spacing w:before="240" w:after="60"/>
        <w:rPr>
          <w:color w:val="000000"/>
        </w:rPr>
      </w:pPr>
      <w:r w:rsidRPr="2CBE60CD">
        <w:rPr>
          <w:color w:val="000000" w:themeColor="text1"/>
        </w:rPr>
        <w:t>Feedback from district councils has also highlighted that the introduction of new legislative requirements will require existing standard operating procedures in relation to FHRS and food hygiene inspections to be amended/updated. It is estimated that it will take each council approximately 7.5 hours to update existing procedures at a total cost of £2,100, again assuming it is an EHO that will undertake this work.</w:t>
      </w:r>
      <w:r>
        <w:br/>
      </w:r>
    </w:p>
    <w:p w14:paraId="7A92BB94" w14:textId="44EE4613" w:rsidR="005634FF" w:rsidRPr="006A0631" w:rsidRDefault="005634FF" w:rsidP="006A0631">
      <w:pPr>
        <w:pStyle w:val="ListParagraph"/>
        <w:numPr>
          <w:ilvl w:val="0"/>
          <w:numId w:val="7"/>
        </w:numPr>
        <w:tabs>
          <w:tab w:val="left" w:pos="5790"/>
        </w:tabs>
        <w:spacing w:before="240" w:after="60"/>
        <w:rPr>
          <w:spacing w:val="-4"/>
          <w:kern w:val="32"/>
        </w:rPr>
      </w:pPr>
      <w:r w:rsidRPr="2CBE60CD">
        <w:rPr>
          <w:color w:val="000000" w:themeColor="text1"/>
        </w:rPr>
        <w:t>District Councils have indicated that they will carry out various promotion campaigns to raise awareness of the proposed legislative requirements via their social media channels, council websites and council newsletters. Total costs are estimated at £2,100, assuming production of the materials will take 7.5 hours of EHO time.</w:t>
      </w:r>
      <w:r w:rsidR="00146D95">
        <w:rPr>
          <w:color w:val="000000" w:themeColor="text1"/>
        </w:rPr>
        <w:t xml:space="preserve"> Therefore, the total one-off IT costs </w:t>
      </w:r>
      <w:r w:rsidR="00AE7427">
        <w:rPr>
          <w:color w:val="000000" w:themeColor="text1"/>
        </w:rPr>
        <w:t xml:space="preserve">to district councils </w:t>
      </w:r>
      <w:r w:rsidR="00740F0F">
        <w:rPr>
          <w:color w:val="000000" w:themeColor="text1"/>
        </w:rPr>
        <w:t>are approximately £6,500 incurred in the first year after implementation.</w:t>
      </w:r>
    </w:p>
    <w:p w14:paraId="31A68C0E" w14:textId="4131D134" w:rsidR="003329F8" w:rsidRPr="00BF69FA" w:rsidRDefault="006F0D7D" w:rsidP="006647A3">
      <w:pPr>
        <w:pStyle w:val="Heading3"/>
      </w:pPr>
      <w:r w:rsidRPr="00BF69FA">
        <w:t>On</w:t>
      </w:r>
      <w:r w:rsidR="00B81354">
        <w:t>e-off</w:t>
      </w:r>
      <w:r w:rsidRPr="00BF69FA">
        <w:t xml:space="preserve"> cost of monitoring</w:t>
      </w:r>
      <w:r w:rsidR="003329F8">
        <w:br/>
      </w:r>
    </w:p>
    <w:p w14:paraId="083A3730" w14:textId="4A9B1E62" w:rsidR="003329F8" w:rsidRDefault="006F0D7D" w:rsidP="003329F8">
      <w:pPr>
        <w:pStyle w:val="ListParagraph"/>
        <w:numPr>
          <w:ilvl w:val="0"/>
          <w:numId w:val="7"/>
        </w:numPr>
      </w:pPr>
      <w:r>
        <w:t xml:space="preserve">At present </w:t>
      </w:r>
      <w:r w:rsidR="00501C10">
        <w:t>d</w:t>
      </w:r>
      <w:r>
        <w:t xml:space="preserve">istrict </w:t>
      </w:r>
      <w:r w:rsidR="00501C10">
        <w:t>c</w:t>
      </w:r>
      <w:r>
        <w:t xml:space="preserve">ouncils monitor and enforce the requirements for food businesses to display their ratings at their establishments. The new online display requirement will extend these activities to include a business’s online sales platform. </w:t>
      </w:r>
    </w:p>
    <w:p w14:paraId="439F349B" w14:textId="77777777" w:rsidR="003329F8" w:rsidRDefault="003329F8" w:rsidP="006A0631">
      <w:pPr>
        <w:pStyle w:val="ListParagraph"/>
      </w:pPr>
    </w:p>
    <w:p w14:paraId="22E621FC" w14:textId="3BDC2242" w:rsidR="003329F8" w:rsidRPr="006A0631" w:rsidRDefault="004F4390" w:rsidP="17A0820B">
      <w:pPr>
        <w:pStyle w:val="ListParagraph"/>
        <w:numPr>
          <w:ilvl w:val="0"/>
          <w:numId w:val="7"/>
        </w:numPr>
        <w:rPr>
          <w:rStyle w:val="SubtleReference"/>
          <w:rFonts w:eastAsia="Arial" w:cs="Arial"/>
          <w:smallCaps w:val="0"/>
          <w:color w:val="auto"/>
        </w:rPr>
      </w:pPr>
      <w:r w:rsidRPr="17A0820B">
        <w:rPr>
          <w:rStyle w:val="SubtleReference"/>
          <w:smallCaps w:val="0"/>
          <w:color w:val="000000" w:themeColor="text1"/>
        </w:rPr>
        <w:t>Feedback from district councils and FSA analysis has highlighted that undertaking an online check prior to</w:t>
      </w:r>
      <w:r w:rsidR="0056277F" w:rsidRPr="17A0820B">
        <w:rPr>
          <w:rStyle w:val="SubtleReference"/>
          <w:smallCaps w:val="0"/>
          <w:color w:val="000000" w:themeColor="text1"/>
        </w:rPr>
        <w:t>,</w:t>
      </w:r>
      <w:r w:rsidRPr="17A0820B">
        <w:rPr>
          <w:rStyle w:val="SubtleReference"/>
          <w:smallCaps w:val="0"/>
          <w:color w:val="000000" w:themeColor="text1"/>
        </w:rPr>
        <w:t xml:space="preserve"> or following</w:t>
      </w:r>
      <w:r w:rsidR="0056277F" w:rsidRPr="17A0820B">
        <w:rPr>
          <w:rStyle w:val="SubtleReference"/>
          <w:smallCaps w:val="0"/>
          <w:color w:val="000000" w:themeColor="text1"/>
        </w:rPr>
        <w:t>,</w:t>
      </w:r>
      <w:r w:rsidRPr="17A0820B">
        <w:rPr>
          <w:rStyle w:val="SubtleReference"/>
          <w:smallCaps w:val="0"/>
          <w:color w:val="000000" w:themeColor="text1"/>
        </w:rPr>
        <w:t xml:space="preserve"> every inspection of a food business would incur significant costs for district councils in terms of the additional time required</w:t>
      </w:r>
      <w:r w:rsidR="007D1FC9" w:rsidRPr="17A0820B">
        <w:rPr>
          <w:rStyle w:val="SubtleReference"/>
          <w:smallCaps w:val="0"/>
          <w:color w:val="000000" w:themeColor="text1"/>
        </w:rPr>
        <w:t xml:space="preserve"> and may not be an efficient approach</w:t>
      </w:r>
      <w:r w:rsidR="006B6F7F" w:rsidRPr="17A0820B">
        <w:rPr>
          <w:rStyle w:val="SubtleReference"/>
          <w:smallCaps w:val="0"/>
          <w:color w:val="000000" w:themeColor="text1"/>
        </w:rPr>
        <w:t xml:space="preserve"> to moni</w:t>
      </w:r>
      <w:r w:rsidR="00703332" w:rsidRPr="17A0820B">
        <w:rPr>
          <w:rStyle w:val="SubtleReference"/>
          <w:smallCaps w:val="0"/>
          <w:color w:val="000000" w:themeColor="text1"/>
        </w:rPr>
        <w:t>toring compliance</w:t>
      </w:r>
      <w:r w:rsidRPr="17A0820B">
        <w:rPr>
          <w:rStyle w:val="SubtleReference"/>
          <w:smallCaps w:val="0"/>
          <w:color w:val="000000" w:themeColor="text1"/>
        </w:rPr>
        <w:t xml:space="preserve">. FSA propose therefore to recommend </w:t>
      </w:r>
      <w:r w:rsidR="005F29CA">
        <w:rPr>
          <w:rStyle w:val="SubtleReference"/>
          <w:smallCaps w:val="0"/>
          <w:color w:val="000000" w:themeColor="text1"/>
        </w:rPr>
        <w:t>district council</w:t>
      </w:r>
      <w:r w:rsidRPr="17A0820B">
        <w:rPr>
          <w:rStyle w:val="SubtleReference"/>
          <w:smallCaps w:val="0"/>
          <w:color w:val="000000" w:themeColor="text1"/>
        </w:rPr>
        <w:t>s adopt a public health led approach when monitoring compliance with the proposed regulations</w:t>
      </w:r>
      <w:r w:rsidR="00E97590">
        <w:rPr>
          <w:rStyle w:val="SubtleReference"/>
          <w:smallCaps w:val="0"/>
          <w:color w:val="000000" w:themeColor="text1"/>
        </w:rPr>
        <w:t>, f</w:t>
      </w:r>
      <w:r w:rsidRPr="17A0820B">
        <w:rPr>
          <w:rStyle w:val="SubtleReference"/>
          <w:smallCaps w:val="0"/>
          <w:color w:val="000000" w:themeColor="text1"/>
        </w:rPr>
        <w:t xml:space="preserve">ocusing </w:t>
      </w:r>
      <w:r w:rsidR="0001369E" w:rsidRPr="17A0820B">
        <w:rPr>
          <w:rStyle w:val="SubtleReference"/>
          <w:smallCaps w:val="0"/>
          <w:color w:val="000000" w:themeColor="text1"/>
        </w:rPr>
        <w:t xml:space="preserve">any </w:t>
      </w:r>
      <w:r w:rsidR="008926F1" w:rsidRPr="17A0820B">
        <w:rPr>
          <w:rStyle w:val="SubtleReference"/>
          <w:smallCaps w:val="0"/>
          <w:color w:val="000000" w:themeColor="text1"/>
        </w:rPr>
        <w:t xml:space="preserve">monitoring on </w:t>
      </w:r>
      <w:r w:rsidRPr="17A0820B">
        <w:rPr>
          <w:rStyle w:val="SubtleReference"/>
          <w:smallCaps w:val="0"/>
          <w:color w:val="000000" w:themeColor="text1"/>
        </w:rPr>
        <w:t xml:space="preserve">businesses that are not broadly compliant, </w:t>
      </w:r>
      <w:r w:rsidR="00F964A4">
        <w:rPr>
          <w:rStyle w:val="SubtleReference"/>
          <w:smallCaps w:val="0"/>
          <w:color w:val="000000" w:themeColor="text1"/>
        </w:rPr>
        <w:t>i.e.</w:t>
      </w:r>
      <w:r w:rsidR="008926F1" w:rsidRPr="17A0820B">
        <w:rPr>
          <w:rStyle w:val="SubtleReference"/>
          <w:smallCaps w:val="0"/>
          <w:color w:val="000000" w:themeColor="text1"/>
        </w:rPr>
        <w:t xml:space="preserve"> businesses with a 0, 1 or 2 rating</w:t>
      </w:r>
      <w:r w:rsidR="00E97590">
        <w:rPr>
          <w:rStyle w:val="SubtleReference"/>
          <w:smallCaps w:val="0"/>
          <w:color w:val="000000" w:themeColor="text1"/>
        </w:rPr>
        <w:t>. This</w:t>
      </w:r>
      <w:r w:rsidR="1C382D43" w:rsidRPr="17A0820B">
        <w:rPr>
          <w:rStyle w:val="SubtleReference"/>
          <w:smallCaps w:val="0"/>
          <w:color w:val="000000" w:themeColor="text1"/>
        </w:rPr>
        <w:t xml:space="preserve"> </w:t>
      </w:r>
      <w:r w:rsidRPr="17A0820B">
        <w:rPr>
          <w:rStyle w:val="SubtleReference"/>
          <w:smallCaps w:val="0"/>
          <w:color w:val="000000" w:themeColor="text1"/>
        </w:rPr>
        <w:t>will reduce the impact on district councils and maintain a risk</w:t>
      </w:r>
      <w:r w:rsidR="00E97590">
        <w:rPr>
          <w:rStyle w:val="SubtleReference"/>
          <w:smallCaps w:val="0"/>
          <w:color w:val="000000" w:themeColor="text1"/>
        </w:rPr>
        <w:t>-</w:t>
      </w:r>
      <w:r w:rsidRPr="17A0820B">
        <w:rPr>
          <w:rStyle w:val="SubtleReference"/>
          <w:smallCaps w:val="0"/>
          <w:color w:val="000000" w:themeColor="text1"/>
        </w:rPr>
        <w:t>based and proportionate approach</w:t>
      </w:r>
      <w:r w:rsidR="00E97590">
        <w:rPr>
          <w:rStyle w:val="SubtleReference"/>
          <w:smallCaps w:val="0"/>
          <w:color w:val="000000" w:themeColor="text1"/>
        </w:rPr>
        <w:t xml:space="preserve">, </w:t>
      </w:r>
      <w:r w:rsidRPr="17A0820B">
        <w:rPr>
          <w:rStyle w:val="SubtleReference"/>
          <w:smallCaps w:val="0"/>
          <w:color w:val="000000" w:themeColor="text1"/>
        </w:rPr>
        <w:t>whilst targeting resources to</w:t>
      </w:r>
      <w:r w:rsidR="0039253A">
        <w:rPr>
          <w:rStyle w:val="SubtleReference"/>
          <w:smallCaps w:val="0"/>
          <w:color w:val="000000" w:themeColor="text1"/>
        </w:rPr>
        <w:t xml:space="preserve"> achieve the</w:t>
      </w:r>
      <w:r w:rsidRPr="17A0820B">
        <w:rPr>
          <w:rStyle w:val="SubtleReference"/>
          <w:smallCaps w:val="0"/>
          <w:color w:val="000000" w:themeColor="text1"/>
        </w:rPr>
        <w:t xml:space="preserve"> greatest public health benefit.</w:t>
      </w:r>
    </w:p>
    <w:p w14:paraId="3C9E3D1A" w14:textId="77777777" w:rsidR="003329F8" w:rsidRPr="006A0631" w:rsidRDefault="003329F8" w:rsidP="006A0631">
      <w:pPr>
        <w:rPr>
          <w:rStyle w:val="SubtleReference"/>
          <w:smallCaps w:val="0"/>
          <w:color w:val="auto"/>
        </w:rPr>
      </w:pPr>
    </w:p>
    <w:p w14:paraId="39BF81CC" w14:textId="536FC639" w:rsidR="008235E3" w:rsidRDefault="003329F8">
      <w:pPr>
        <w:pStyle w:val="ListParagraph"/>
        <w:numPr>
          <w:ilvl w:val="0"/>
          <w:numId w:val="7"/>
        </w:numPr>
        <w:rPr>
          <w:rStyle w:val="SubtleReference"/>
          <w:rFonts w:cs="Arial"/>
          <w:smallCaps w:val="0"/>
          <w:color w:val="000000" w:themeColor="text1"/>
          <w:szCs w:val="20"/>
          <w:lang w:eastAsia="en-GB"/>
        </w:rPr>
      </w:pPr>
      <w:r w:rsidRPr="1C382D43">
        <w:rPr>
          <w:rStyle w:val="SubtleReference"/>
          <w:smallCaps w:val="0"/>
          <w:color w:val="000000" w:themeColor="text1"/>
        </w:rPr>
        <w:t>A</w:t>
      </w:r>
      <w:r w:rsidR="0039253A">
        <w:t>l</w:t>
      </w:r>
      <w:r w:rsidR="000256E7" w:rsidRPr="006A0631">
        <w:rPr>
          <w:rStyle w:val="SubtleReference"/>
          <w:smallCaps w:val="0"/>
          <w:color w:val="000000" w:themeColor="text1"/>
        </w:rPr>
        <w:t xml:space="preserve">l businesses should be informed or reminded of the new requirement during </w:t>
      </w:r>
      <w:r w:rsidR="00DF1EEA" w:rsidRPr="1C382D43">
        <w:rPr>
          <w:rStyle w:val="SubtleReference"/>
          <w:smallCaps w:val="0"/>
          <w:color w:val="000000" w:themeColor="text1"/>
        </w:rPr>
        <w:t xml:space="preserve">programmed </w:t>
      </w:r>
      <w:r w:rsidR="000256E7" w:rsidRPr="006A0631">
        <w:rPr>
          <w:rStyle w:val="SubtleReference"/>
          <w:smallCaps w:val="0"/>
          <w:color w:val="000000" w:themeColor="text1"/>
        </w:rPr>
        <w:t>inspection</w:t>
      </w:r>
      <w:r w:rsidR="006172AA" w:rsidRPr="1C382D43">
        <w:rPr>
          <w:rStyle w:val="SubtleReference"/>
          <w:smallCaps w:val="0"/>
          <w:color w:val="000000" w:themeColor="text1"/>
        </w:rPr>
        <w:t>s</w:t>
      </w:r>
      <w:r w:rsidR="002E3761">
        <w:rPr>
          <w:rStyle w:val="SubtleReference"/>
          <w:smallCaps w:val="0"/>
          <w:color w:val="000000" w:themeColor="text1"/>
        </w:rPr>
        <w:t>,</w:t>
      </w:r>
      <w:r w:rsidR="000256E7" w:rsidRPr="006A0631">
        <w:rPr>
          <w:rStyle w:val="SubtleReference"/>
          <w:smallCaps w:val="0"/>
          <w:color w:val="000000" w:themeColor="text1"/>
        </w:rPr>
        <w:t xml:space="preserve"> however a follow-up online check of businesses rated 0, 1 and 2 would be carried out within 3 months following an inspection. This administrative check would be implemented as a one-off </w:t>
      </w:r>
      <w:r w:rsidR="005012D7" w:rsidRPr="006A0631">
        <w:rPr>
          <w:rStyle w:val="SubtleReference"/>
          <w:smallCaps w:val="0"/>
          <w:color w:val="000000" w:themeColor="text1"/>
        </w:rPr>
        <w:t xml:space="preserve">monitoring </w:t>
      </w:r>
      <w:r w:rsidR="000256E7" w:rsidRPr="006A0631">
        <w:rPr>
          <w:rStyle w:val="SubtleReference"/>
          <w:smallCaps w:val="0"/>
          <w:color w:val="000000" w:themeColor="text1"/>
        </w:rPr>
        <w:t xml:space="preserve">exercise relating </w:t>
      </w:r>
      <w:r w:rsidR="00284FE3">
        <w:rPr>
          <w:rStyle w:val="SubtleReference"/>
          <w:smallCaps w:val="0"/>
          <w:color w:val="000000" w:themeColor="text1"/>
        </w:rPr>
        <w:t xml:space="preserve">to </w:t>
      </w:r>
      <w:r w:rsidR="007559D6">
        <w:rPr>
          <w:rStyle w:val="SubtleReference"/>
          <w:smallCaps w:val="0"/>
          <w:color w:val="000000" w:themeColor="text1"/>
        </w:rPr>
        <w:t xml:space="preserve">any </w:t>
      </w:r>
      <w:r w:rsidR="000256E7">
        <w:rPr>
          <w:rStyle w:val="SubtleReference"/>
          <w:smallCaps w:val="0"/>
          <w:color w:val="000000" w:themeColor="text1"/>
        </w:rPr>
        <w:t xml:space="preserve">inspection </w:t>
      </w:r>
      <w:r w:rsidR="007559D6">
        <w:rPr>
          <w:rStyle w:val="SubtleReference"/>
          <w:smallCaps w:val="0"/>
          <w:color w:val="000000" w:themeColor="text1"/>
        </w:rPr>
        <w:t xml:space="preserve">of a 0,1 or 2 rated </w:t>
      </w:r>
      <w:r w:rsidR="000256E7" w:rsidRPr="006A0631">
        <w:rPr>
          <w:rStyle w:val="SubtleReference"/>
          <w:smallCaps w:val="0"/>
          <w:color w:val="000000" w:themeColor="text1"/>
        </w:rPr>
        <w:t xml:space="preserve">business </w:t>
      </w:r>
      <w:r w:rsidR="007559D6">
        <w:rPr>
          <w:rStyle w:val="SubtleReference"/>
          <w:smallCaps w:val="0"/>
          <w:color w:val="000000" w:themeColor="text1"/>
        </w:rPr>
        <w:t>in the first year following</w:t>
      </w:r>
      <w:r w:rsidR="000256E7" w:rsidRPr="006A0631">
        <w:rPr>
          <w:rStyle w:val="SubtleReference"/>
          <w:smallCaps w:val="0"/>
          <w:color w:val="000000" w:themeColor="text1"/>
        </w:rPr>
        <w:t xml:space="preserve"> the proposed regulations coming into operation</w:t>
      </w:r>
      <w:r w:rsidR="004E5F90">
        <w:rPr>
          <w:rStyle w:val="SubtleReference"/>
          <w:smallCaps w:val="0"/>
          <w:color w:val="000000" w:themeColor="text1"/>
        </w:rPr>
        <w:t>. A</w:t>
      </w:r>
      <w:r w:rsidR="000256E7" w:rsidRPr="006A0631">
        <w:rPr>
          <w:rStyle w:val="SubtleReference"/>
          <w:smallCaps w:val="0"/>
          <w:color w:val="000000" w:themeColor="text1"/>
        </w:rPr>
        <w:t>ny further investigation and follow-up would be carried out by an authorised officer. To reduce the impact on district councils the long-term approach for monitoring compliance with the proposed regulations should be based on intelligence</w:t>
      </w:r>
      <w:r w:rsidR="00EC1754">
        <w:rPr>
          <w:rStyle w:val="SubtleReference"/>
          <w:smallCaps w:val="0"/>
          <w:color w:val="000000" w:themeColor="text1"/>
        </w:rPr>
        <w:t xml:space="preserve"> (complaints</w:t>
      </w:r>
      <w:r w:rsidR="006D6659">
        <w:rPr>
          <w:rStyle w:val="SubtleReference"/>
          <w:smallCaps w:val="0"/>
          <w:color w:val="000000" w:themeColor="text1"/>
        </w:rPr>
        <w:t xml:space="preserve"> from members of the public</w:t>
      </w:r>
      <w:r w:rsidR="00B64491">
        <w:rPr>
          <w:rStyle w:val="SubtleReference"/>
          <w:smallCaps w:val="0"/>
          <w:color w:val="000000" w:themeColor="text1"/>
        </w:rPr>
        <w:t>/businesses</w:t>
      </w:r>
      <w:r w:rsidR="00117A83">
        <w:rPr>
          <w:rStyle w:val="SubtleReference"/>
          <w:smallCaps w:val="0"/>
          <w:color w:val="000000" w:themeColor="text1"/>
        </w:rPr>
        <w:t>/others</w:t>
      </w:r>
      <w:r w:rsidR="006431F4">
        <w:rPr>
          <w:rStyle w:val="SubtleReference"/>
          <w:smallCaps w:val="0"/>
          <w:color w:val="000000" w:themeColor="text1"/>
        </w:rPr>
        <w:t xml:space="preserve">, intelligence </w:t>
      </w:r>
      <w:r w:rsidR="00B64491">
        <w:rPr>
          <w:rStyle w:val="SubtleReference"/>
          <w:smallCaps w:val="0"/>
          <w:color w:val="000000" w:themeColor="text1"/>
        </w:rPr>
        <w:t xml:space="preserve">gathered </w:t>
      </w:r>
      <w:r w:rsidR="006A4734">
        <w:rPr>
          <w:rStyle w:val="SubtleReference"/>
          <w:smallCaps w:val="0"/>
          <w:color w:val="000000" w:themeColor="text1"/>
        </w:rPr>
        <w:t xml:space="preserve">during </w:t>
      </w:r>
      <w:r w:rsidR="00690CAF">
        <w:rPr>
          <w:rStyle w:val="SubtleReference"/>
          <w:smallCaps w:val="0"/>
          <w:color w:val="000000" w:themeColor="text1"/>
        </w:rPr>
        <w:t>routine inspection</w:t>
      </w:r>
      <w:r w:rsidR="00B64491">
        <w:rPr>
          <w:rStyle w:val="SubtleReference"/>
          <w:smallCaps w:val="0"/>
          <w:color w:val="000000" w:themeColor="text1"/>
        </w:rPr>
        <w:t>s</w:t>
      </w:r>
      <w:r w:rsidR="00CB0818">
        <w:rPr>
          <w:rStyle w:val="SubtleReference"/>
          <w:smallCaps w:val="0"/>
          <w:color w:val="000000" w:themeColor="text1"/>
        </w:rPr>
        <w:t xml:space="preserve"> etc</w:t>
      </w:r>
      <w:r w:rsidR="00B64491">
        <w:rPr>
          <w:rStyle w:val="SubtleReference"/>
          <w:smallCaps w:val="0"/>
          <w:color w:val="000000" w:themeColor="text1"/>
        </w:rPr>
        <w:t>)</w:t>
      </w:r>
      <w:r w:rsidR="000256E7" w:rsidRPr="006A0631">
        <w:rPr>
          <w:rStyle w:val="SubtleReference"/>
          <w:smallCaps w:val="0"/>
          <w:color w:val="000000" w:themeColor="text1"/>
        </w:rPr>
        <w:t xml:space="preserve">, focused initiatives </w:t>
      </w:r>
      <w:r w:rsidR="002F29C4">
        <w:rPr>
          <w:rStyle w:val="SubtleReference"/>
          <w:smallCaps w:val="0"/>
          <w:color w:val="000000" w:themeColor="text1"/>
        </w:rPr>
        <w:t xml:space="preserve">(agreed </w:t>
      </w:r>
      <w:r w:rsidR="002D64A3">
        <w:rPr>
          <w:rStyle w:val="SubtleReference"/>
          <w:smallCaps w:val="0"/>
          <w:color w:val="000000" w:themeColor="text1"/>
        </w:rPr>
        <w:t>among regional groups)</w:t>
      </w:r>
      <w:r w:rsidR="00EC67DF">
        <w:rPr>
          <w:rStyle w:val="SubtleReference"/>
          <w:smallCaps w:val="0"/>
          <w:color w:val="000000" w:themeColor="text1"/>
        </w:rPr>
        <w:t xml:space="preserve">, </w:t>
      </w:r>
      <w:r w:rsidR="000256E7" w:rsidRPr="006A0631">
        <w:rPr>
          <w:rStyle w:val="SubtleReference"/>
          <w:smallCaps w:val="0"/>
          <w:color w:val="000000" w:themeColor="text1"/>
        </w:rPr>
        <w:t>findings from FSA surveillance</w:t>
      </w:r>
      <w:r w:rsidR="004174CA">
        <w:rPr>
          <w:rStyle w:val="SubtleReference"/>
          <w:smallCaps w:val="0"/>
          <w:color w:val="000000" w:themeColor="text1"/>
        </w:rPr>
        <w:t xml:space="preserve"> projects</w:t>
      </w:r>
      <w:r w:rsidR="000256E7" w:rsidRPr="006A0631">
        <w:rPr>
          <w:rStyle w:val="SubtleReference"/>
          <w:smallCaps w:val="0"/>
          <w:color w:val="000000" w:themeColor="text1"/>
        </w:rPr>
        <w:t xml:space="preserve"> </w:t>
      </w:r>
      <w:r w:rsidR="0007684B">
        <w:rPr>
          <w:rStyle w:val="SubtleReference"/>
          <w:smallCaps w:val="0"/>
          <w:color w:val="000000" w:themeColor="text1"/>
        </w:rPr>
        <w:t>(commissioned research)</w:t>
      </w:r>
      <w:r w:rsidR="00F73CED">
        <w:rPr>
          <w:rStyle w:val="SubtleReference"/>
          <w:smallCaps w:val="0"/>
          <w:color w:val="000000" w:themeColor="text1"/>
        </w:rPr>
        <w:t xml:space="preserve"> and</w:t>
      </w:r>
      <w:r w:rsidR="00653CFC">
        <w:rPr>
          <w:rStyle w:val="SubtleReference"/>
          <w:smallCaps w:val="0"/>
          <w:color w:val="000000" w:themeColor="text1"/>
        </w:rPr>
        <w:t xml:space="preserve"> </w:t>
      </w:r>
      <w:r w:rsidR="00C706AB">
        <w:rPr>
          <w:rStyle w:val="SubtleReference"/>
          <w:smallCaps w:val="0"/>
          <w:color w:val="000000" w:themeColor="text1"/>
        </w:rPr>
        <w:t>digital surveillance tools</w:t>
      </w:r>
      <w:r w:rsidR="00FA59A6">
        <w:rPr>
          <w:rStyle w:val="SubtleReference"/>
          <w:smallCaps w:val="0"/>
          <w:color w:val="000000" w:themeColor="text1"/>
        </w:rPr>
        <w:t xml:space="preserve"> (F</w:t>
      </w:r>
      <w:r w:rsidR="00664237">
        <w:rPr>
          <w:rStyle w:val="SubtleReference"/>
          <w:smallCaps w:val="0"/>
          <w:color w:val="000000" w:themeColor="text1"/>
        </w:rPr>
        <w:t xml:space="preserve">SA </w:t>
      </w:r>
      <w:r w:rsidR="009E23F2">
        <w:rPr>
          <w:rStyle w:val="SubtleReference"/>
          <w:smallCaps w:val="0"/>
          <w:color w:val="000000" w:themeColor="text1"/>
        </w:rPr>
        <w:t>are assessing the potential</w:t>
      </w:r>
      <w:r w:rsidR="002E2FB9">
        <w:rPr>
          <w:rStyle w:val="SubtleReference"/>
          <w:smallCaps w:val="0"/>
          <w:color w:val="000000" w:themeColor="text1"/>
        </w:rPr>
        <w:t xml:space="preserve"> of an</w:t>
      </w:r>
      <w:r w:rsidR="00A62FE7">
        <w:rPr>
          <w:rStyle w:val="SubtleReference"/>
          <w:smallCaps w:val="0"/>
          <w:color w:val="000000" w:themeColor="text1"/>
        </w:rPr>
        <w:t xml:space="preserve"> </w:t>
      </w:r>
      <w:r w:rsidR="00444FE4">
        <w:rPr>
          <w:rStyle w:val="SubtleReference"/>
          <w:smallCaps w:val="0"/>
          <w:color w:val="000000" w:themeColor="text1"/>
        </w:rPr>
        <w:t>online image detection tool</w:t>
      </w:r>
      <w:r w:rsidR="00444FE4" w:rsidRPr="7D4689E2">
        <w:rPr>
          <w:rFonts w:eastAsia="Arial"/>
        </w:rPr>
        <w:t xml:space="preserve"> </w:t>
      </w:r>
      <w:r w:rsidR="00444FE4">
        <w:rPr>
          <w:rFonts w:eastAsia="Arial"/>
        </w:rPr>
        <w:t xml:space="preserve">which will provide an </w:t>
      </w:r>
      <w:r w:rsidR="0095400D" w:rsidRPr="7D4689E2">
        <w:rPr>
          <w:rFonts w:eastAsia="Arial"/>
        </w:rPr>
        <w:t>automated solution to finding business websites and establishing whether they are displaying an FHRS rating</w:t>
      </w:r>
      <w:r w:rsidR="002C2ACB">
        <w:rPr>
          <w:rStyle w:val="SubtleReference"/>
          <w:smallCaps w:val="0"/>
          <w:color w:val="000000" w:themeColor="text1"/>
        </w:rPr>
        <w:t>)</w:t>
      </w:r>
      <w:r w:rsidR="00387967">
        <w:rPr>
          <w:rStyle w:val="SubtleReference"/>
          <w:smallCaps w:val="0"/>
          <w:color w:val="000000" w:themeColor="text1"/>
        </w:rPr>
        <w:t>.</w:t>
      </w:r>
    </w:p>
    <w:p w14:paraId="0A03377C" w14:textId="169CE2A8" w:rsidR="003329F8" w:rsidRPr="006A0631" w:rsidRDefault="003329F8" w:rsidP="006A0631">
      <w:pPr>
        <w:pStyle w:val="ListParagraph"/>
        <w:rPr>
          <w:rStyle w:val="SubtleReference"/>
          <w:smallCaps w:val="0"/>
          <w:color w:val="000000" w:themeColor="text1"/>
        </w:rPr>
      </w:pPr>
    </w:p>
    <w:p w14:paraId="0E89D10C" w14:textId="7BE2B700" w:rsidR="000256E7" w:rsidRDefault="000256E7" w:rsidP="000256E7">
      <w:pPr>
        <w:pStyle w:val="ListParagraph"/>
        <w:numPr>
          <w:ilvl w:val="0"/>
          <w:numId w:val="7"/>
        </w:numPr>
        <w:rPr>
          <w:color w:val="000000" w:themeColor="text1"/>
        </w:rPr>
      </w:pPr>
      <w:r w:rsidRPr="006A0631">
        <w:rPr>
          <w:color w:val="000000" w:themeColor="text1"/>
        </w:rPr>
        <w:t>The proposed regulations will require businesses to display their food hygiene rating in a readily seen location prior to the point of order or the point of selection (whichever comes first in the customers journey). As the FHR is required to be displayed at this early point in the customer’s journey, district councils</w:t>
      </w:r>
      <w:r w:rsidR="00B77D0F" w:rsidRPr="006A0631">
        <w:rPr>
          <w:color w:val="000000" w:themeColor="text1"/>
        </w:rPr>
        <w:t xml:space="preserve"> </w:t>
      </w:r>
      <w:r w:rsidRPr="006A0631">
        <w:rPr>
          <w:color w:val="000000" w:themeColor="text1"/>
        </w:rPr>
        <w:t>will not be required to carry out extensive searches during the proposed one-off online checks. Furthermore, FSA are currently engaged with platforms who currently use the FHRS open data sets, such as Just Eat, Deliveroo and Uber Eats, to ensure that they are aware of the proposed legislative requirements with regard to location and manner of display of food hygiene ratings. Taking this into account and based on online searches carried out internally by FSA, it estimated that the time spent on online monitoring should take approximately 5 to 10 minutes per business.</w:t>
      </w:r>
    </w:p>
    <w:p w14:paraId="4092D416" w14:textId="77777777" w:rsidR="008235E3" w:rsidRDefault="008235E3" w:rsidP="006A0631">
      <w:pPr>
        <w:pStyle w:val="ListParagraph"/>
        <w:rPr>
          <w:color w:val="000000" w:themeColor="text1"/>
        </w:rPr>
      </w:pPr>
    </w:p>
    <w:p w14:paraId="482D0961" w14:textId="37BC171E" w:rsidR="001B525D" w:rsidRDefault="00212528" w:rsidP="001B525D">
      <w:pPr>
        <w:pStyle w:val="ListParagraph"/>
        <w:numPr>
          <w:ilvl w:val="0"/>
          <w:numId w:val="7"/>
        </w:numPr>
        <w:rPr>
          <w:rStyle w:val="SubtleReference"/>
          <w:smallCaps w:val="0"/>
          <w:color w:val="000000" w:themeColor="text1"/>
        </w:rPr>
      </w:pPr>
      <w:r w:rsidRPr="006A0631">
        <w:rPr>
          <w:rStyle w:val="SubtleReference"/>
          <w:smallCaps w:val="0"/>
          <w:color w:val="000000" w:themeColor="text1"/>
        </w:rPr>
        <w:t>Based on the median hourly wage cost of a</w:t>
      </w:r>
      <w:r w:rsidR="006A046F" w:rsidRPr="006A0631">
        <w:rPr>
          <w:rStyle w:val="SubtleReference"/>
          <w:smallCaps w:val="0"/>
          <w:color w:val="000000" w:themeColor="text1"/>
        </w:rPr>
        <w:t>dministrative staff (£17.01)</w:t>
      </w:r>
      <w:r w:rsidR="004C1665" w:rsidRPr="006A0631">
        <w:rPr>
          <w:rStyle w:val="SubtleReference"/>
          <w:smallCaps w:val="0"/>
          <w:color w:val="000000" w:themeColor="text1"/>
        </w:rPr>
        <w:t xml:space="preserve"> and using</w:t>
      </w:r>
      <w:r w:rsidR="00800049">
        <w:rPr>
          <w:rStyle w:val="SubtleReference"/>
          <w:smallCaps w:val="0"/>
          <w:color w:val="000000" w:themeColor="text1"/>
        </w:rPr>
        <w:t xml:space="preserve"> the aforementioned figure of 125 businesses</w:t>
      </w:r>
      <w:r w:rsidR="00D002D5" w:rsidRPr="006A0631">
        <w:rPr>
          <w:rStyle w:val="SubtleReference"/>
          <w:smallCaps w:val="0"/>
          <w:color w:val="000000" w:themeColor="text1"/>
        </w:rPr>
        <w:t xml:space="preserve"> from </w:t>
      </w:r>
      <w:hyperlink r:id="rId16" w:history="1">
        <w:r w:rsidR="00210586" w:rsidRPr="006A0631">
          <w:rPr>
            <w:rStyle w:val="Hyperlink"/>
            <w:color w:val="000000" w:themeColor="text1"/>
          </w:rPr>
          <w:t>rating</w:t>
        </w:r>
        <w:r w:rsidR="00954C7B" w:rsidRPr="006A0631">
          <w:rPr>
            <w:rStyle w:val="Hyperlink"/>
            <w:color w:val="000000" w:themeColor="text1"/>
          </w:rPr>
          <w:t>s.food.gov.uk</w:t>
        </w:r>
      </w:hyperlink>
      <w:r w:rsidR="00D002D5" w:rsidRPr="006A0631">
        <w:rPr>
          <w:rStyle w:val="SubtleReference"/>
          <w:smallCaps w:val="0"/>
          <w:color w:val="000000" w:themeColor="text1"/>
        </w:rPr>
        <w:t xml:space="preserve"> </w:t>
      </w:r>
      <w:r w:rsidR="005B3458">
        <w:rPr>
          <w:rStyle w:val="SubtleReference"/>
          <w:smallCaps w:val="0"/>
          <w:color w:val="000000" w:themeColor="text1"/>
        </w:rPr>
        <w:t>(as of 27.05.2022)</w:t>
      </w:r>
      <w:r w:rsidR="00563DA3">
        <w:rPr>
          <w:rStyle w:val="SubtleReference"/>
          <w:smallCaps w:val="0"/>
          <w:color w:val="000000" w:themeColor="text1"/>
        </w:rPr>
        <w:t xml:space="preserve"> </w:t>
      </w:r>
      <w:r w:rsidR="00D002D5" w:rsidRPr="006A0631">
        <w:rPr>
          <w:rStyle w:val="SubtleReference"/>
          <w:smallCaps w:val="0"/>
          <w:color w:val="000000" w:themeColor="text1"/>
        </w:rPr>
        <w:t xml:space="preserve">related to the number of 0, 1 and 2 rated businesses </w:t>
      </w:r>
      <w:r w:rsidR="009C031D" w:rsidRPr="006A0631">
        <w:rPr>
          <w:rStyle w:val="SubtleReference"/>
          <w:smallCaps w:val="0"/>
          <w:color w:val="000000" w:themeColor="text1"/>
        </w:rPr>
        <w:t>in NI</w:t>
      </w:r>
      <w:r w:rsidR="008F694E" w:rsidRPr="006A0631">
        <w:rPr>
          <w:rStyle w:val="SubtleReference"/>
          <w:smallCaps w:val="0"/>
          <w:color w:val="000000" w:themeColor="text1"/>
        </w:rPr>
        <w:t xml:space="preserve">, a 5-10 minute online check for each </w:t>
      </w:r>
      <w:r w:rsidR="00351B88" w:rsidRPr="006A0631">
        <w:rPr>
          <w:rStyle w:val="SubtleReference"/>
          <w:smallCaps w:val="0"/>
          <w:color w:val="000000" w:themeColor="text1"/>
        </w:rPr>
        <w:t xml:space="preserve">0, 1 or 2 rated </w:t>
      </w:r>
      <w:r w:rsidR="006D7B55" w:rsidRPr="006A0631">
        <w:rPr>
          <w:rStyle w:val="SubtleReference"/>
          <w:smallCaps w:val="0"/>
          <w:color w:val="000000" w:themeColor="text1"/>
        </w:rPr>
        <w:t>business</w:t>
      </w:r>
      <w:r w:rsidR="001054BA" w:rsidRPr="006A0631">
        <w:rPr>
          <w:rStyle w:val="SubtleReference"/>
          <w:smallCaps w:val="0"/>
          <w:color w:val="000000" w:themeColor="text1"/>
        </w:rPr>
        <w:t xml:space="preserve"> would equate to a total cost</w:t>
      </w:r>
      <w:r w:rsidR="002343DE">
        <w:rPr>
          <w:rStyle w:val="SubtleReference"/>
          <w:smallCaps w:val="0"/>
          <w:color w:val="000000" w:themeColor="text1"/>
        </w:rPr>
        <w:t xml:space="preserve"> across all 11 district councils</w:t>
      </w:r>
      <w:r w:rsidR="001054BA" w:rsidRPr="006A0631">
        <w:rPr>
          <w:rStyle w:val="SubtleReference"/>
          <w:smallCaps w:val="0"/>
          <w:color w:val="000000" w:themeColor="text1"/>
        </w:rPr>
        <w:t xml:space="preserve"> of </w:t>
      </w:r>
      <w:r w:rsidR="00A06CE4" w:rsidRPr="006A0631">
        <w:rPr>
          <w:rStyle w:val="SubtleReference"/>
          <w:smallCaps w:val="0"/>
          <w:color w:val="000000" w:themeColor="text1"/>
        </w:rPr>
        <w:t>£</w:t>
      </w:r>
      <w:r w:rsidR="00EF3CC9">
        <w:rPr>
          <w:rStyle w:val="SubtleReference"/>
          <w:smallCaps w:val="0"/>
          <w:color w:val="000000" w:themeColor="text1"/>
        </w:rPr>
        <w:t>270</w:t>
      </w:r>
      <w:r w:rsidR="00A06CE4" w:rsidRPr="006A0631">
        <w:rPr>
          <w:rStyle w:val="SubtleReference"/>
          <w:smallCaps w:val="0"/>
          <w:color w:val="000000" w:themeColor="text1"/>
        </w:rPr>
        <w:t>. As this is a one-off check</w:t>
      </w:r>
      <w:r w:rsidR="005642CC" w:rsidRPr="006A0631">
        <w:rPr>
          <w:rStyle w:val="SubtleReference"/>
          <w:smallCaps w:val="0"/>
          <w:color w:val="000000" w:themeColor="text1"/>
        </w:rPr>
        <w:t xml:space="preserve"> there are no ongoing costs associated with monitoring compliance of the proposed regulations.</w:t>
      </w:r>
    </w:p>
    <w:p w14:paraId="4C320B34" w14:textId="77777777" w:rsidR="003279BF" w:rsidRPr="003279BF" w:rsidRDefault="003279BF" w:rsidP="003279BF">
      <w:pPr>
        <w:pStyle w:val="ListParagraph"/>
        <w:rPr>
          <w:rStyle w:val="SubtleReference"/>
          <w:smallCaps w:val="0"/>
          <w:color w:val="000000" w:themeColor="text1"/>
        </w:rPr>
      </w:pPr>
    </w:p>
    <w:p w14:paraId="45CFB3D0" w14:textId="77777777" w:rsidR="003279BF" w:rsidRPr="006A0631" w:rsidRDefault="003279BF" w:rsidP="003279BF">
      <w:pPr>
        <w:pStyle w:val="ListParagraph"/>
        <w:rPr>
          <w:rStyle w:val="SubtleReference"/>
          <w:smallCaps w:val="0"/>
          <w:color w:val="000000" w:themeColor="text1"/>
        </w:rPr>
      </w:pPr>
    </w:p>
    <w:p w14:paraId="6361503C" w14:textId="2502E275" w:rsidR="008235E3" w:rsidRPr="006A0631" w:rsidRDefault="00A30DF5" w:rsidP="006A0631">
      <w:pPr>
        <w:pStyle w:val="ListParagraph"/>
        <w:rPr>
          <w:rStyle w:val="SubtleReference"/>
          <w:smallCaps w:val="0"/>
          <w:color w:val="000000" w:themeColor="text1"/>
        </w:rPr>
      </w:pPr>
      <w:r w:rsidRPr="000256E7">
        <w:rPr>
          <w:noProof/>
        </w:rPr>
        <mc:AlternateContent>
          <mc:Choice Requires="wps">
            <w:drawing>
              <wp:inline distT="0" distB="0" distL="0" distR="0" wp14:anchorId="02CDA5B9" wp14:editId="499D6F1A">
                <wp:extent cx="6311900" cy="730250"/>
                <wp:effectExtent l="0" t="0" r="1270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730250"/>
                        </a:xfrm>
                        <a:prstGeom prst="rect">
                          <a:avLst/>
                        </a:prstGeom>
                        <a:solidFill>
                          <a:schemeClr val="bg1">
                            <a:lumMod val="75000"/>
                          </a:schemeClr>
                        </a:solidFill>
                        <a:ln w="9525">
                          <a:solidFill>
                            <a:srgbClr val="000000"/>
                          </a:solidFill>
                          <a:miter lim="800000"/>
                          <a:headEnd/>
                          <a:tailEnd/>
                        </a:ln>
                      </wps:spPr>
                      <wps:txbx>
                        <w:txbxContent>
                          <w:p w14:paraId="0EBA8384" w14:textId="77A6E085" w:rsidR="001B525D" w:rsidRDefault="001B525D" w:rsidP="001B525D">
                            <w:r>
                              <w:t xml:space="preserve">Question 1: Do you agree with the monitoring approach outlined above? </w:t>
                            </w:r>
                            <w:r>
                              <w:rPr>
                                <w:szCs w:val="24"/>
                              </w:rPr>
                              <w:t>If you do not agree please provide reasons why and where appropriate provide alternative approaches to monitoring food business compliance with the proposed requirements.</w:t>
                            </w:r>
                          </w:p>
                        </w:txbxContent>
                      </wps:txbx>
                      <wps:bodyPr rot="0" vert="horz" wrap="square" lIns="91440" tIns="45720" rIns="91440" bIns="45720" anchor="t" anchorCtr="0">
                        <a:noAutofit/>
                      </wps:bodyPr>
                    </wps:wsp>
                  </a:graphicData>
                </a:graphic>
              </wp:inline>
            </w:drawing>
          </mc:Choice>
          <mc:Fallback>
            <w:pict>
              <v:shapetype w14:anchorId="02CDA5B9" id="_x0000_t202" coordsize="21600,21600" o:spt="202" path="m,l,21600r21600,l21600,xe">
                <v:stroke joinstyle="miter"/>
                <v:path gradientshapeok="t" o:connecttype="rect"/>
              </v:shapetype>
              <v:shape id="Text Box 2" o:spid="_x0000_s1026" type="#_x0000_t202" style="width:497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" fillcolor="#bfbfbf [2412]">
                <v:textbox>
                  <w:txbxContent>
                    <w:p w14:paraId="0EBA8384" w14:textId="77A6E085" w:rsidR="001B525D" w:rsidRDefault="001B525D" w:rsidP="001B525D">
                      <w:r>
                        <w:t xml:space="preserve">Question 1: Do you agree with the monitoring approach outlined above? </w:t>
                      </w:r>
                      <w:r>
                        <w:rPr>
                          <w:szCs w:val="24"/>
                        </w:rPr>
                        <w:t>If you do not agree please provide reasons why and where appropriate provide alternative approaches to monitoring food business compliance with the proposed requirements.</w:t>
                      </w:r>
                    </w:p>
                  </w:txbxContent>
                </v:textbox>
                <w10:anchorlock/>
              </v:shape>
            </w:pict>
          </mc:Fallback>
        </mc:AlternateContent>
      </w:r>
    </w:p>
    <w:p w14:paraId="6A30D301" w14:textId="7FA62C6A" w:rsidR="00D103A6" w:rsidRPr="006B20DE" w:rsidRDefault="00023A16" w:rsidP="006647A3">
      <w:pPr>
        <w:pStyle w:val="Heading3"/>
      </w:pPr>
      <w:r>
        <w:br/>
      </w:r>
      <w:r w:rsidR="00D103A6" w:rsidRPr="006B20DE">
        <w:t>Targeting non-compliant businesses</w:t>
      </w:r>
    </w:p>
    <w:p w14:paraId="7D9028BA" w14:textId="52843097" w:rsidR="009223DE" w:rsidRDefault="00A279F8" w:rsidP="005634FF">
      <w:pPr>
        <w:pStyle w:val="ListParagraph"/>
        <w:numPr>
          <w:ilvl w:val="0"/>
          <w:numId w:val="7"/>
        </w:numPr>
        <w:tabs>
          <w:tab w:val="left" w:pos="5790"/>
        </w:tabs>
        <w:spacing w:before="240" w:after="60"/>
        <w:rPr>
          <w:color w:val="000000"/>
        </w:rPr>
      </w:pPr>
      <w:r w:rsidRPr="2CBE60CD">
        <w:rPr>
          <w:color w:val="000000"/>
        </w:rPr>
        <w:t>D</w:t>
      </w:r>
      <w:r w:rsidR="00593FE6" w:rsidRPr="2CBE60CD">
        <w:rPr>
          <w:color w:val="000000"/>
        </w:rPr>
        <w:t xml:space="preserve">istrict </w:t>
      </w:r>
      <w:r w:rsidR="00976235" w:rsidRPr="2CBE60CD">
        <w:rPr>
          <w:color w:val="000000"/>
        </w:rPr>
        <w:t>c</w:t>
      </w:r>
      <w:r w:rsidR="00593FE6" w:rsidRPr="2CBE60CD">
        <w:rPr>
          <w:color w:val="000000"/>
        </w:rPr>
        <w:t>ouncil</w:t>
      </w:r>
      <w:r w:rsidRPr="2CBE60CD">
        <w:rPr>
          <w:color w:val="000000"/>
        </w:rPr>
        <w:t xml:space="preserve">s have informed FSA that </w:t>
      </w:r>
      <w:r w:rsidR="00E5146F" w:rsidRPr="2CBE60CD">
        <w:rPr>
          <w:color w:val="000000"/>
        </w:rPr>
        <w:t xml:space="preserve">non-compliant businesses who sell food online may require focused visits </w:t>
      </w:r>
      <w:r w:rsidR="00882B2C" w:rsidRPr="2CBE60CD">
        <w:rPr>
          <w:color w:val="000000"/>
        </w:rPr>
        <w:t>to assist them with improving their current rating. A</w:t>
      </w:r>
      <w:r w:rsidR="00385B3B" w:rsidRPr="29288AEA">
        <w:rPr>
          <w:color w:val="000000" w:themeColor="text1"/>
        </w:rPr>
        <w:t>s of 27</w:t>
      </w:r>
      <w:r w:rsidR="00385B3B" w:rsidRPr="006A0631">
        <w:rPr>
          <w:color w:val="000000" w:themeColor="text1"/>
          <w:vertAlign w:val="superscript"/>
        </w:rPr>
        <w:t>th</w:t>
      </w:r>
      <w:r w:rsidR="00385B3B" w:rsidRPr="29288AEA">
        <w:rPr>
          <w:color w:val="000000" w:themeColor="text1"/>
        </w:rPr>
        <w:t xml:space="preserve"> May 2022</w:t>
      </w:r>
      <w:r w:rsidR="00744064" w:rsidRPr="2CBE60CD">
        <w:rPr>
          <w:color w:val="000000"/>
        </w:rPr>
        <w:t xml:space="preserve"> a</w:t>
      </w:r>
      <w:r w:rsidR="00882B2C" w:rsidRPr="2CBE60CD">
        <w:rPr>
          <w:color w:val="000000"/>
        </w:rPr>
        <w:t xml:space="preserve"> total of 1</w:t>
      </w:r>
      <w:r w:rsidR="00385B3B" w:rsidRPr="29288AEA">
        <w:rPr>
          <w:color w:val="000000" w:themeColor="text1"/>
        </w:rPr>
        <w:t>25</w:t>
      </w:r>
      <w:r w:rsidR="00882B2C" w:rsidRPr="2CBE60CD">
        <w:rPr>
          <w:color w:val="000000"/>
        </w:rPr>
        <w:t xml:space="preserve"> businesses </w:t>
      </w:r>
      <w:r w:rsidR="00923BA9" w:rsidRPr="2CBE60CD">
        <w:rPr>
          <w:color w:val="000000"/>
        </w:rPr>
        <w:t xml:space="preserve">across the 11 </w:t>
      </w:r>
      <w:r w:rsidR="00976235" w:rsidRPr="2CBE60CD">
        <w:rPr>
          <w:color w:val="000000"/>
        </w:rPr>
        <w:t>d</w:t>
      </w:r>
      <w:r w:rsidR="00923BA9" w:rsidRPr="2CBE60CD">
        <w:rPr>
          <w:color w:val="000000"/>
        </w:rPr>
        <w:t xml:space="preserve">istrict </w:t>
      </w:r>
      <w:r w:rsidR="00976235" w:rsidRPr="2CBE60CD">
        <w:rPr>
          <w:color w:val="000000"/>
        </w:rPr>
        <w:t>c</w:t>
      </w:r>
      <w:r w:rsidR="00923BA9" w:rsidRPr="2CBE60CD">
        <w:rPr>
          <w:color w:val="000000"/>
        </w:rPr>
        <w:t xml:space="preserve">ouncils </w:t>
      </w:r>
      <w:r w:rsidR="00D54ABC" w:rsidRPr="2CBE60CD">
        <w:rPr>
          <w:color w:val="000000"/>
        </w:rPr>
        <w:t xml:space="preserve">had a </w:t>
      </w:r>
      <w:r w:rsidR="00BF3837" w:rsidRPr="2CBE60CD">
        <w:rPr>
          <w:color w:val="000000"/>
        </w:rPr>
        <w:t>food hyg</w:t>
      </w:r>
      <w:r w:rsidR="000E6851" w:rsidRPr="2CBE60CD">
        <w:rPr>
          <w:color w:val="000000"/>
        </w:rPr>
        <w:t xml:space="preserve">iene </w:t>
      </w:r>
      <w:r w:rsidR="00D54ABC" w:rsidRPr="2CBE60CD">
        <w:rPr>
          <w:color w:val="000000"/>
        </w:rPr>
        <w:t xml:space="preserve">rating of </w:t>
      </w:r>
      <w:r w:rsidR="00BF3837" w:rsidRPr="2CBE60CD">
        <w:rPr>
          <w:color w:val="000000"/>
        </w:rPr>
        <w:t>less than 3</w:t>
      </w:r>
      <w:r w:rsidR="00DE24A5" w:rsidRPr="2CBE60CD">
        <w:rPr>
          <w:color w:val="000000"/>
        </w:rPr>
        <w:t xml:space="preserve"> (</w:t>
      </w:r>
      <w:r w:rsidR="00A40A22" w:rsidRPr="2CBE60CD">
        <w:rPr>
          <w:color w:val="000000"/>
        </w:rPr>
        <w:t>n</w:t>
      </w:r>
      <w:r w:rsidR="00206D90" w:rsidRPr="2CBE60CD">
        <w:rPr>
          <w:color w:val="000000"/>
        </w:rPr>
        <w:t xml:space="preserve">ot </w:t>
      </w:r>
      <w:r w:rsidR="00DE24A5" w:rsidRPr="2CBE60CD">
        <w:rPr>
          <w:color w:val="000000"/>
        </w:rPr>
        <w:t>broadly compliant)</w:t>
      </w:r>
      <w:r w:rsidR="00BF3837" w:rsidRPr="2CBE60CD">
        <w:rPr>
          <w:color w:val="000000"/>
        </w:rPr>
        <w:t>.</w:t>
      </w:r>
      <w:r w:rsidR="000E6851" w:rsidRPr="2CBE60CD">
        <w:rPr>
          <w:color w:val="000000"/>
        </w:rPr>
        <w:t xml:space="preserve"> </w:t>
      </w:r>
      <w:r w:rsidR="00364237" w:rsidRPr="2CBE60CD">
        <w:rPr>
          <w:color w:val="000000"/>
        </w:rPr>
        <w:t xml:space="preserve">It is estimated that approximately </w:t>
      </w:r>
      <w:r w:rsidR="002854FC" w:rsidRPr="2CBE60CD">
        <w:rPr>
          <w:color w:val="000000"/>
        </w:rPr>
        <w:t xml:space="preserve">26% of these </w:t>
      </w:r>
      <w:r w:rsidR="00D532C8" w:rsidRPr="2CBE60CD">
        <w:rPr>
          <w:color w:val="000000"/>
        </w:rPr>
        <w:t xml:space="preserve">will </w:t>
      </w:r>
      <w:r w:rsidR="00404B5E" w:rsidRPr="2CBE60CD">
        <w:rPr>
          <w:color w:val="000000"/>
        </w:rPr>
        <w:t xml:space="preserve">have </w:t>
      </w:r>
      <w:r w:rsidR="00030BBB" w:rsidRPr="2CBE60CD">
        <w:rPr>
          <w:color w:val="000000"/>
        </w:rPr>
        <w:t xml:space="preserve">an ordering </w:t>
      </w:r>
      <w:r w:rsidR="00033191" w:rsidRPr="2CBE60CD">
        <w:rPr>
          <w:color w:val="000000"/>
        </w:rPr>
        <w:t>facilit</w:t>
      </w:r>
      <w:r w:rsidR="00853AC7" w:rsidRPr="2CBE60CD">
        <w:rPr>
          <w:color w:val="000000"/>
        </w:rPr>
        <w:t>y</w:t>
      </w:r>
      <w:r w:rsidR="0067363D" w:rsidRPr="2CBE60CD">
        <w:rPr>
          <w:rStyle w:val="FootnoteReference"/>
          <w:color w:val="000000"/>
        </w:rPr>
        <w:footnoteReference w:id="19"/>
      </w:r>
      <w:r w:rsidR="00CF531A" w:rsidRPr="2CBE60CD">
        <w:rPr>
          <w:color w:val="000000"/>
        </w:rPr>
        <w:t xml:space="preserve"> </w:t>
      </w:r>
      <w:r w:rsidR="00BD5A5B" w:rsidRPr="2CBE60CD">
        <w:rPr>
          <w:color w:val="000000"/>
        </w:rPr>
        <w:t>which equates to approximately 3</w:t>
      </w:r>
      <w:r w:rsidR="0083204C" w:rsidRPr="29288AEA">
        <w:rPr>
          <w:color w:val="000000" w:themeColor="text1"/>
        </w:rPr>
        <w:t>3</w:t>
      </w:r>
      <w:r w:rsidR="00AB4B44" w:rsidRPr="2CBE60CD">
        <w:rPr>
          <w:color w:val="000000"/>
        </w:rPr>
        <w:t xml:space="preserve"> businesses</w:t>
      </w:r>
      <w:r w:rsidR="008A07A3" w:rsidRPr="2CBE60CD">
        <w:rPr>
          <w:color w:val="000000"/>
        </w:rPr>
        <w:t xml:space="preserve"> falling into this category</w:t>
      </w:r>
      <w:r w:rsidR="009F70C9" w:rsidRPr="2CBE60CD">
        <w:rPr>
          <w:color w:val="000000"/>
        </w:rPr>
        <w:t xml:space="preserve">. </w:t>
      </w:r>
      <w:r w:rsidR="006E3EEC" w:rsidRPr="2CBE60CD">
        <w:rPr>
          <w:color w:val="000000"/>
        </w:rPr>
        <w:t>Considering how these</w:t>
      </w:r>
      <w:r w:rsidR="00557E49" w:rsidRPr="2CBE60CD">
        <w:rPr>
          <w:color w:val="000000"/>
        </w:rPr>
        <w:t xml:space="preserve"> 3</w:t>
      </w:r>
      <w:r w:rsidR="0083204C" w:rsidRPr="29288AEA">
        <w:rPr>
          <w:color w:val="000000" w:themeColor="text1"/>
        </w:rPr>
        <w:t>3</w:t>
      </w:r>
      <w:r w:rsidR="00122EBA" w:rsidRPr="2CBE60CD">
        <w:rPr>
          <w:color w:val="000000"/>
        </w:rPr>
        <w:t xml:space="preserve"> </w:t>
      </w:r>
      <w:r w:rsidR="006E3EEC" w:rsidRPr="2CBE60CD">
        <w:rPr>
          <w:color w:val="000000"/>
        </w:rPr>
        <w:t>n</w:t>
      </w:r>
      <w:r w:rsidR="000900CD" w:rsidRPr="2CBE60CD">
        <w:rPr>
          <w:color w:val="000000"/>
        </w:rPr>
        <w:t xml:space="preserve">ot broadly </w:t>
      </w:r>
      <w:r w:rsidR="006E3EEC" w:rsidRPr="2CBE60CD">
        <w:rPr>
          <w:color w:val="000000"/>
        </w:rPr>
        <w:t>compliant</w:t>
      </w:r>
      <w:r w:rsidR="00122EBA" w:rsidRPr="2CBE60CD">
        <w:rPr>
          <w:color w:val="000000"/>
        </w:rPr>
        <w:t xml:space="preserve"> businesses </w:t>
      </w:r>
      <w:r w:rsidR="006E3EEC" w:rsidRPr="2CBE60CD">
        <w:rPr>
          <w:color w:val="000000"/>
        </w:rPr>
        <w:t>are spread</w:t>
      </w:r>
      <w:r w:rsidR="00122EBA" w:rsidRPr="2CBE60CD">
        <w:rPr>
          <w:color w:val="000000"/>
        </w:rPr>
        <w:t xml:space="preserve"> across</w:t>
      </w:r>
      <w:r w:rsidR="00F5116D" w:rsidRPr="2CBE60CD">
        <w:rPr>
          <w:color w:val="000000"/>
        </w:rPr>
        <w:t xml:space="preserve"> the 11 </w:t>
      </w:r>
      <w:r w:rsidR="00976235" w:rsidRPr="2CBE60CD">
        <w:rPr>
          <w:color w:val="000000"/>
        </w:rPr>
        <w:t>d</w:t>
      </w:r>
      <w:r w:rsidR="00F5116D" w:rsidRPr="2CBE60CD">
        <w:rPr>
          <w:color w:val="000000"/>
        </w:rPr>
        <w:t>is</w:t>
      </w:r>
      <w:r w:rsidR="00B8496A" w:rsidRPr="2CBE60CD">
        <w:rPr>
          <w:color w:val="000000"/>
        </w:rPr>
        <w:t xml:space="preserve">trict </w:t>
      </w:r>
      <w:r w:rsidR="00976235" w:rsidRPr="2CBE60CD">
        <w:rPr>
          <w:color w:val="000000"/>
        </w:rPr>
        <w:t>c</w:t>
      </w:r>
      <w:r w:rsidR="00B8496A" w:rsidRPr="2CBE60CD">
        <w:rPr>
          <w:color w:val="000000"/>
        </w:rPr>
        <w:t>ouncil</w:t>
      </w:r>
      <w:r w:rsidR="004846C0" w:rsidRPr="2CBE60CD">
        <w:rPr>
          <w:color w:val="000000"/>
        </w:rPr>
        <w:t xml:space="preserve"> areas</w:t>
      </w:r>
      <w:r w:rsidR="0010496A" w:rsidRPr="2CBE60CD">
        <w:rPr>
          <w:color w:val="000000"/>
        </w:rPr>
        <w:t>,</w:t>
      </w:r>
      <w:r w:rsidR="00926A2D" w:rsidRPr="2CBE60CD">
        <w:rPr>
          <w:color w:val="000000"/>
        </w:rPr>
        <w:t xml:space="preserve"> </w:t>
      </w:r>
      <w:r w:rsidR="007D6778" w:rsidRPr="2CBE60CD">
        <w:rPr>
          <w:color w:val="000000"/>
        </w:rPr>
        <w:t xml:space="preserve">and the recommended graduated </w:t>
      </w:r>
      <w:r w:rsidR="007D6778" w:rsidRPr="2CBE60CD">
        <w:rPr>
          <w:color w:val="000000"/>
        </w:rPr>
        <w:lastRenderedPageBreak/>
        <w:t>approach to enforcement</w:t>
      </w:r>
      <w:r w:rsidR="00B8496A" w:rsidRPr="2CBE60CD">
        <w:rPr>
          <w:color w:val="000000"/>
        </w:rPr>
        <w:t xml:space="preserve"> </w:t>
      </w:r>
      <w:r w:rsidR="007852FD" w:rsidRPr="2CBE60CD">
        <w:rPr>
          <w:color w:val="000000"/>
        </w:rPr>
        <w:t xml:space="preserve">of the </w:t>
      </w:r>
      <w:r w:rsidR="0047041F" w:rsidRPr="2CBE60CD">
        <w:rPr>
          <w:color w:val="000000"/>
        </w:rPr>
        <w:t xml:space="preserve">requirements by </w:t>
      </w:r>
      <w:r w:rsidR="00976235" w:rsidRPr="2CBE60CD">
        <w:rPr>
          <w:color w:val="000000"/>
        </w:rPr>
        <w:t>d</w:t>
      </w:r>
      <w:r w:rsidR="0047041F" w:rsidRPr="2CBE60CD">
        <w:rPr>
          <w:color w:val="000000"/>
        </w:rPr>
        <w:t xml:space="preserve">istrict </w:t>
      </w:r>
      <w:r w:rsidR="00976235" w:rsidRPr="2CBE60CD">
        <w:rPr>
          <w:color w:val="000000"/>
        </w:rPr>
        <w:t>c</w:t>
      </w:r>
      <w:r w:rsidR="0047041F" w:rsidRPr="2CBE60CD">
        <w:rPr>
          <w:color w:val="000000"/>
        </w:rPr>
        <w:t>ouncils</w:t>
      </w:r>
      <w:r w:rsidR="00286215" w:rsidRPr="2CBE60CD">
        <w:rPr>
          <w:color w:val="000000"/>
        </w:rPr>
        <w:t>,</w:t>
      </w:r>
      <w:r w:rsidR="00B8496A" w:rsidRPr="2CBE60CD">
        <w:rPr>
          <w:color w:val="000000"/>
        </w:rPr>
        <w:t xml:space="preserve"> </w:t>
      </w:r>
      <w:r w:rsidR="00E632B4" w:rsidRPr="2CBE60CD">
        <w:rPr>
          <w:color w:val="000000"/>
        </w:rPr>
        <w:t xml:space="preserve">it is envisaged that </w:t>
      </w:r>
      <w:r w:rsidR="009031B5" w:rsidRPr="2CBE60CD">
        <w:rPr>
          <w:color w:val="000000"/>
        </w:rPr>
        <w:t>non-compliance</w:t>
      </w:r>
      <w:r w:rsidR="0004345C" w:rsidRPr="2CBE60CD">
        <w:rPr>
          <w:color w:val="000000"/>
        </w:rPr>
        <w:t>s</w:t>
      </w:r>
      <w:r w:rsidR="009031B5" w:rsidRPr="2CBE60CD">
        <w:rPr>
          <w:color w:val="000000"/>
        </w:rPr>
        <w:t xml:space="preserve"> can be addressed </w:t>
      </w:r>
      <w:r w:rsidR="005C6F9C" w:rsidRPr="2CBE60CD">
        <w:rPr>
          <w:color w:val="000000"/>
        </w:rPr>
        <w:t xml:space="preserve">during </w:t>
      </w:r>
      <w:r w:rsidR="005B72A3" w:rsidRPr="2CBE60CD">
        <w:rPr>
          <w:color w:val="000000"/>
        </w:rPr>
        <w:t>routine</w:t>
      </w:r>
      <w:r w:rsidR="00C024D8" w:rsidRPr="2CBE60CD">
        <w:rPr>
          <w:color w:val="000000"/>
        </w:rPr>
        <w:t>,</w:t>
      </w:r>
      <w:r w:rsidR="001767FD" w:rsidRPr="2CBE60CD">
        <w:rPr>
          <w:color w:val="000000"/>
        </w:rPr>
        <w:t xml:space="preserve"> program</w:t>
      </w:r>
      <w:r w:rsidR="00AD12A6" w:rsidRPr="2CBE60CD">
        <w:rPr>
          <w:color w:val="000000"/>
        </w:rPr>
        <w:t>med</w:t>
      </w:r>
      <w:r w:rsidR="00A058D6" w:rsidRPr="2CBE60CD">
        <w:rPr>
          <w:color w:val="000000"/>
        </w:rPr>
        <w:t xml:space="preserve"> food hygiene inspections</w:t>
      </w:r>
      <w:r w:rsidR="000C4704" w:rsidRPr="2CBE60CD">
        <w:rPr>
          <w:color w:val="000000"/>
        </w:rPr>
        <w:t xml:space="preserve">, and will not require additional </w:t>
      </w:r>
      <w:r w:rsidR="00F12514" w:rsidRPr="2CBE60CD">
        <w:rPr>
          <w:color w:val="000000"/>
        </w:rPr>
        <w:t>resources</w:t>
      </w:r>
      <w:r w:rsidR="00A058D6" w:rsidRPr="2CBE60CD">
        <w:rPr>
          <w:color w:val="000000"/>
        </w:rPr>
        <w:t>.</w:t>
      </w:r>
      <w:r w:rsidR="00BD788E" w:rsidRPr="2CBE60CD">
        <w:rPr>
          <w:color w:val="000000"/>
        </w:rPr>
        <w:t xml:space="preserve"> </w:t>
      </w:r>
      <w:r w:rsidR="009C1874" w:rsidRPr="2CBE60CD">
        <w:rPr>
          <w:color w:val="000000"/>
        </w:rPr>
        <w:t>Consequently</w:t>
      </w:r>
      <w:r w:rsidR="00F12514" w:rsidRPr="2CBE60CD">
        <w:rPr>
          <w:color w:val="000000"/>
        </w:rPr>
        <w:t>, t</w:t>
      </w:r>
      <w:r w:rsidR="00F70990" w:rsidRPr="2CBE60CD">
        <w:rPr>
          <w:color w:val="000000"/>
        </w:rPr>
        <w:t xml:space="preserve">here are no </w:t>
      </w:r>
      <w:r w:rsidR="00BD788E" w:rsidRPr="2CBE60CD">
        <w:rPr>
          <w:color w:val="000000"/>
        </w:rPr>
        <w:t xml:space="preserve">additional </w:t>
      </w:r>
      <w:r w:rsidR="00F70990" w:rsidRPr="2CBE60CD">
        <w:rPr>
          <w:color w:val="000000"/>
        </w:rPr>
        <w:t xml:space="preserve">costs associated with </w:t>
      </w:r>
      <w:r w:rsidR="009C1874" w:rsidRPr="2CBE60CD">
        <w:rPr>
          <w:color w:val="000000"/>
        </w:rPr>
        <w:t>the proposed legislation as a direct result of</w:t>
      </w:r>
      <w:r w:rsidR="00F70990" w:rsidRPr="2CBE60CD">
        <w:rPr>
          <w:color w:val="000000"/>
        </w:rPr>
        <w:t xml:space="preserve"> </w:t>
      </w:r>
      <w:r w:rsidR="009C5A4C" w:rsidRPr="2CBE60CD">
        <w:rPr>
          <w:color w:val="000000"/>
        </w:rPr>
        <w:t>this</w:t>
      </w:r>
      <w:r w:rsidR="00103690" w:rsidRPr="2CBE60CD">
        <w:rPr>
          <w:color w:val="000000"/>
        </w:rPr>
        <w:t xml:space="preserve"> approach</w:t>
      </w:r>
      <w:r w:rsidR="00A058D6" w:rsidRPr="2CBE60CD" w:rsidDel="00F70990">
        <w:rPr>
          <w:color w:val="000000"/>
        </w:rPr>
        <w:t>.</w:t>
      </w:r>
    </w:p>
    <w:p w14:paraId="6DA27A98" w14:textId="77777777" w:rsidR="00E10B42" w:rsidRPr="00BF69FA" w:rsidRDefault="00E10B42" w:rsidP="006647A3">
      <w:pPr>
        <w:pStyle w:val="Heading3"/>
      </w:pPr>
      <w:r w:rsidRPr="00BF69FA">
        <w:t>Ongoing cost of enforcement action</w:t>
      </w:r>
    </w:p>
    <w:p w14:paraId="5B73C766" w14:textId="1F269303" w:rsidR="00E10B42" w:rsidRPr="006A0631" w:rsidRDefault="00E10B42" w:rsidP="006A0631">
      <w:pPr>
        <w:pStyle w:val="ListParagraph"/>
        <w:keepLines/>
        <w:numPr>
          <w:ilvl w:val="0"/>
          <w:numId w:val="7"/>
        </w:numPr>
        <w:spacing w:before="240" w:after="60"/>
        <w:rPr>
          <w:rFonts w:eastAsia="Arial"/>
          <w:lang w:val="en-US"/>
        </w:rPr>
      </w:pPr>
      <w:r w:rsidRPr="1C382D43">
        <w:rPr>
          <w:rFonts w:eastAsia="Arial"/>
          <w:lang w:val="en-US"/>
        </w:rPr>
        <w:t>In cases of non-compliance, local authorities would need to take enforcement action against those businesses that fail to display their ratings.  Such enforcement action would also be carried out at routine hygiene interventions as with enforcement for other food business non-compliance. The BEIS IA Tool Kit Guidance advises that impact assessments should assume 100% compliance with the regulatory requirement unless there is evidence to the contrary. We have followed this advice and have therefore not calculated this potential cost.</w:t>
      </w:r>
    </w:p>
    <w:p w14:paraId="7F968C66" w14:textId="759EB110" w:rsidR="00494930" w:rsidRPr="006B20DE" w:rsidRDefault="007A690C" w:rsidP="00A80445">
      <w:pPr>
        <w:pStyle w:val="Heading2"/>
      </w:pPr>
      <w:r w:rsidRPr="006B20DE">
        <w:t>Ongoing c</w:t>
      </w:r>
      <w:r w:rsidR="00D103A6" w:rsidRPr="006B20DE">
        <w:t>osts associated with a</w:t>
      </w:r>
      <w:r w:rsidR="00494930" w:rsidRPr="006B20DE">
        <w:t>ppeals, re-rating visits</w:t>
      </w:r>
      <w:r w:rsidR="00D103A6" w:rsidRPr="006B20DE">
        <w:t xml:space="preserve"> and ‘</w:t>
      </w:r>
      <w:r w:rsidR="00494930" w:rsidRPr="006B20DE">
        <w:t>right to repl</w:t>
      </w:r>
      <w:r w:rsidR="00D103A6" w:rsidRPr="006B20DE">
        <w:t>y’</w:t>
      </w:r>
      <w:r w:rsidR="00C8242F" w:rsidRPr="006B20DE">
        <w:t xml:space="preserve"> (</w:t>
      </w:r>
      <w:r w:rsidR="00A44DEB" w:rsidRPr="006B20DE">
        <w:t>FHRS s</w:t>
      </w:r>
      <w:r w:rsidR="00C8242F" w:rsidRPr="006B20DE">
        <w:t>afeguards)</w:t>
      </w:r>
    </w:p>
    <w:p w14:paraId="34F4075C" w14:textId="7054A69E" w:rsidR="007A62F7" w:rsidRPr="006B20DE" w:rsidRDefault="007A62F7" w:rsidP="00A80445">
      <w:pPr>
        <w:pStyle w:val="Heading3"/>
        <w:rPr>
          <w:rFonts w:eastAsia="Arial"/>
          <w:lang w:val="en-US"/>
        </w:rPr>
      </w:pPr>
      <w:r>
        <w:rPr>
          <w:rFonts w:eastAsia="Arial"/>
          <w:lang w:val="en-US"/>
        </w:rPr>
        <w:t>Appeals</w:t>
      </w:r>
    </w:p>
    <w:p w14:paraId="63AD9A7B" w14:textId="6444CE3D" w:rsidR="00526617" w:rsidRDefault="002B7FA2" w:rsidP="00E10B42">
      <w:pPr>
        <w:pStyle w:val="ListParagraph"/>
        <w:keepLines/>
        <w:numPr>
          <w:ilvl w:val="0"/>
          <w:numId w:val="7"/>
        </w:numPr>
        <w:spacing w:before="240" w:after="60"/>
        <w:rPr>
          <w:rFonts w:eastAsia="Arial"/>
          <w:lang w:val="en-US"/>
        </w:rPr>
      </w:pPr>
      <w:r>
        <w:t>To ensure fairness to businesses,</w:t>
      </w:r>
      <w:r w:rsidR="009053ED">
        <w:t xml:space="preserve"> district council</w:t>
      </w:r>
      <w:r>
        <w:t>s must have an appeals procedure in place for Operators to dispute the food hygiene rating given in respect of their establishment.</w:t>
      </w:r>
      <w:r w:rsidR="00AE4EC8">
        <w:t xml:space="preserve"> </w:t>
      </w:r>
      <w:r w:rsidR="00435A42" w:rsidRPr="1C382D43">
        <w:rPr>
          <w:rFonts w:eastAsia="Arial"/>
          <w:lang w:val="en-US"/>
        </w:rPr>
        <w:t xml:space="preserve">If </w:t>
      </w:r>
      <w:r w:rsidR="00AA00E0" w:rsidRPr="1C382D43">
        <w:rPr>
          <w:rFonts w:eastAsia="Arial"/>
          <w:lang w:val="en-US"/>
        </w:rPr>
        <w:t>an FHRS-registered business</w:t>
      </w:r>
      <w:r w:rsidR="009922A2" w:rsidRPr="1C382D43">
        <w:rPr>
          <w:rFonts w:eastAsia="Arial"/>
          <w:lang w:val="en-US"/>
        </w:rPr>
        <w:t xml:space="preserve"> </w:t>
      </w:r>
      <w:r w:rsidR="0095504C" w:rsidRPr="1C382D43">
        <w:rPr>
          <w:rFonts w:eastAsia="Arial"/>
          <w:lang w:val="en-US"/>
        </w:rPr>
        <w:t>would like to contest the</w:t>
      </w:r>
      <w:r w:rsidR="001F11F2" w:rsidRPr="1C382D43">
        <w:rPr>
          <w:rFonts w:eastAsia="Arial"/>
          <w:lang w:val="en-US"/>
        </w:rPr>
        <w:t xml:space="preserve"> FHR they were awarded at their latest and recent inspection</w:t>
      </w:r>
      <w:r w:rsidR="00B3236C" w:rsidRPr="1C382D43">
        <w:rPr>
          <w:rFonts w:eastAsia="Arial"/>
          <w:lang w:val="en-US"/>
        </w:rPr>
        <w:t>, because they feel it is not a fair reflection of the food hygiene practices on display,</w:t>
      </w:r>
      <w:r w:rsidR="006C62F8" w:rsidRPr="1C382D43">
        <w:rPr>
          <w:rFonts w:eastAsia="Arial"/>
          <w:lang w:val="en-US"/>
        </w:rPr>
        <w:t xml:space="preserve"> they can appeal </w:t>
      </w:r>
      <w:r w:rsidR="00322229" w:rsidRPr="1C382D43">
        <w:rPr>
          <w:rFonts w:eastAsia="Arial"/>
          <w:lang w:val="en-US"/>
        </w:rPr>
        <w:t xml:space="preserve">the rating given. This cost is covered by </w:t>
      </w:r>
      <w:r w:rsidR="003C29E7" w:rsidRPr="1C382D43">
        <w:rPr>
          <w:rFonts w:eastAsia="Arial"/>
          <w:lang w:val="en-US"/>
        </w:rPr>
        <w:t>d</w:t>
      </w:r>
      <w:r w:rsidR="00322229" w:rsidRPr="1C382D43">
        <w:rPr>
          <w:rFonts w:eastAsia="Arial"/>
          <w:lang w:val="en-US"/>
        </w:rPr>
        <w:t xml:space="preserve">istrict </w:t>
      </w:r>
      <w:r w:rsidR="003C29E7" w:rsidRPr="1C382D43">
        <w:rPr>
          <w:rFonts w:eastAsia="Arial"/>
          <w:lang w:val="en-US"/>
        </w:rPr>
        <w:t>c</w:t>
      </w:r>
      <w:r w:rsidR="00322229" w:rsidRPr="1C382D43">
        <w:rPr>
          <w:rFonts w:eastAsia="Arial"/>
          <w:lang w:val="en-US"/>
        </w:rPr>
        <w:t>ouncils and is not recovered by charging businesses.</w:t>
      </w:r>
      <w:r w:rsidR="001F11F2" w:rsidRPr="1C382D43">
        <w:rPr>
          <w:rFonts w:eastAsia="Arial"/>
          <w:lang w:val="en-US"/>
        </w:rPr>
        <w:t xml:space="preserve"> </w:t>
      </w:r>
      <w:r w:rsidR="003C29E7" w:rsidRPr="1C382D43">
        <w:rPr>
          <w:rFonts w:eastAsia="Arial"/>
          <w:lang w:val="en-US"/>
        </w:rPr>
        <w:t>D</w:t>
      </w:r>
      <w:r w:rsidR="00593FE6" w:rsidRPr="1C382D43">
        <w:rPr>
          <w:rFonts w:eastAsia="Arial"/>
          <w:lang w:val="en-US"/>
        </w:rPr>
        <w:t xml:space="preserve">istrict </w:t>
      </w:r>
      <w:r w:rsidR="003C29E7" w:rsidRPr="1C382D43">
        <w:rPr>
          <w:rFonts w:eastAsia="Arial"/>
          <w:lang w:val="en-US"/>
        </w:rPr>
        <w:t>c</w:t>
      </w:r>
      <w:r w:rsidR="00593FE6" w:rsidRPr="1C382D43">
        <w:rPr>
          <w:rFonts w:eastAsia="Arial"/>
          <w:lang w:val="en-US"/>
        </w:rPr>
        <w:t>ouncil</w:t>
      </w:r>
      <w:r w:rsidR="00931637" w:rsidRPr="1C382D43">
        <w:rPr>
          <w:rFonts w:eastAsia="Arial"/>
          <w:lang w:val="en-US"/>
        </w:rPr>
        <w:t>s h</w:t>
      </w:r>
      <w:r w:rsidR="00F35A5B" w:rsidRPr="1C382D43">
        <w:rPr>
          <w:rFonts w:eastAsia="Arial"/>
          <w:lang w:val="en-US"/>
        </w:rPr>
        <w:t xml:space="preserve">ave indicated to FSA that they anticipate an increase in </w:t>
      </w:r>
      <w:r w:rsidR="00FB52F8" w:rsidRPr="1C382D43">
        <w:rPr>
          <w:rFonts w:eastAsia="Arial"/>
          <w:lang w:val="en-US"/>
        </w:rPr>
        <w:t>appe</w:t>
      </w:r>
      <w:r w:rsidR="005915EC" w:rsidRPr="1C382D43">
        <w:rPr>
          <w:rFonts w:eastAsia="Arial"/>
          <w:lang w:val="en-US"/>
        </w:rPr>
        <w:t>als</w:t>
      </w:r>
      <w:r w:rsidR="00D71E8E" w:rsidRPr="1C382D43">
        <w:rPr>
          <w:rFonts w:eastAsia="Arial"/>
          <w:lang w:val="en-US"/>
        </w:rPr>
        <w:t xml:space="preserve"> due to the proposed regulations</w:t>
      </w:r>
      <w:r w:rsidR="000262BE" w:rsidRPr="1C382D43">
        <w:rPr>
          <w:rFonts w:eastAsia="Arial"/>
          <w:lang w:val="en-US"/>
        </w:rPr>
        <w:t xml:space="preserve">. </w:t>
      </w:r>
      <w:r w:rsidR="00EE3A07" w:rsidRPr="1C382D43">
        <w:rPr>
          <w:rFonts w:eastAsia="Arial"/>
          <w:lang w:val="en-US"/>
        </w:rPr>
        <w:t xml:space="preserve">In the context of </w:t>
      </w:r>
      <w:r w:rsidR="00B161DB" w:rsidRPr="1C382D43">
        <w:rPr>
          <w:rFonts w:eastAsia="Arial"/>
          <w:lang w:val="en-US"/>
        </w:rPr>
        <w:t>appeals, re-ratings and right to reply applications</w:t>
      </w:r>
      <w:r w:rsidR="004E5C1C" w:rsidRPr="1C382D43">
        <w:rPr>
          <w:rFonts w:eastAsia="Arial"/>
          <w:lang w:val="en-US"/>
        </w:rPr>
        <w:t>, the same moneti</w:t>
      </w:r>
      <w:r w:rsidR="00322229" w:rsidRPr="1C382D43">
        <w:rPr>
          <w:rFonts w:eastAsia="Arial"/>
          <w:lang w:val="en-US"/>
        </w:rPr>
        <w:t>s</w:t>
      </w:r>
      <w:r w:rsidR="004E5C1C" w:rsidRPr="1C382D43">
        <w:rPr>
          <w:rFonts w:eastAsia="Arial"/>
          <w:lang w:val="en-US"/>
        </w:rPr>
        <w:t xml:space="preserve">ation approach was applied, assuming a 15% </w:t>
      </w:r>
      <w:r w:rsidR="0060462C" w:rsidRPr="1C382D43">
        <w:rPr>
          <w:rFonts w:eastAsia="Arial"/>
          <w:lang w:val="en-US"/>
        </w:rPr>
        <w:t xml:space="preserve">annual increase in </w:t>
      </w:r>
      <w:r w:rsidR="009F34A3" w:rsidRPr="1C382D43">
        <w:rPr>
          <w:rFonts w:eastAsia="Arial"/>
          <w:lang w:val="en-US"/>
        </w:rPr>
        <w:t>the number of each</w:t>
      </w:r>
      <w:r w:rsidR="00584FD2" w:rsidRPr="1C382D43">
        <w:rPr>
          <w:rFonts w:eastAsia="Arial"/>
          <w:lang w:val="en-US"/>
        </w:rPr>
        <w:t xml:space="preserve"> safeguard</w:t>
      </w:r>
      <w:r w:rsidR="00E04458" w:rsidRPr="1C382D43">
        <w:rPr>
          <w:rFonts w:eastAsia="Arial"/>
          <w:lang w:val="en-US"/>
        </w:rPr>
        <w:t xml:space="preserve"> in the first five years, before </w:t>
      </w:r>
      <w:r w:rsidR="0065227A" w:rsidRPr="1C382D43">
        <w:rPr>
          <w:rFonts w:eastAsia="Arial"/>
          <w:lang w:val="en-US"/>
        </w:rPr>
        <w:t>this rate of increase tails off by 50% for the last five years of the appraisal period.</w:t>
      </w:r>
      <w:r w:rsidR="0095454D" w:rsidRPr="1C382D43">
        <w:rPr>
          <w:rFonts w:eastAsia="Arial"/>
          <w:lang w:val="en-US"/>
        </w:rPr>
        <w:t xml:space="preserve"> </w:t>
      </w:r>
      <w:r w:rsidR="000F5FE1" w:rsidRPr="1C382D43">
        <w:rPr>
          <w:rFonts w:eastAsia="Arial"/>
          <w:lang w:val="en-US"/>
        </w:rPr>
        <w:t xml:space="preserve">Total Northern Ireland </w:t>
      </w:r>
      <w:r w:rsidR="004A120E" w:rsidRPr="1C382D43">
        <w:rPr>
          <w:rFonts w:eastAsia="Arial"/>
          <w:lang w:val="en-US"/>
        </w:rPr>
        <w:t xml:space="preserve">FHRS data for all three safeguards </w:t>
      </w:r>
      <w:r w:rsidR="001554FA" w:rsidRPr="1C382D43">
        <w:rPr>
          <w:rFonts w:eastAsia="Arial"/>
          <w:lang w:val="en-US"/>
        </w:rPr>
        <w:t>was adjusted to isolate the assumed 26% of businesses operating online who would seek to use these safeguards</w:t>
      </w:r>
      <w:r w:rsidR="00C756B6" w:rsidRPr="1C382D43">
        <w:rPr>
          <w:rFonts w:eastAsia="Arial"/>
          <w:lang w:val="en-US"/>
        </w:rPr>
        <w:t xml:space="preserve">. </w:t>
      </w:r>
      <w:r w:rsidR="005C02ED" w:rsidRPr="1C382D43">
        <w:rPr>
          <w:rFonts w:eastAsia="Arial"/>
          <w:lang w:val="en-US"/>
        </w:rPr>
        <w:t xml:space="preserve">In the case of appeals, following these adjustments and implementation of the model, </w:t>
      </w:r>
      <w:r w:rsidR="00310914" w:rsidRPr="1C382D43">
        <w:rPr>
          <w:rFonts w:eastAsia="Arial"/>
          <w:lang w:val="en-US"/>
        </w:rPr>
        <w:t xml:space="preserve">an increase of less than one appeal per year was estimated, </w:t>
      </w:r>
      <w:r w:rsidR="0007387F" w:rsidRPr="1C382D43">
        <w:rPr>
          <w:rFonts w:eastAsia="Arial"/>
          <w:lang w:val="en-US"/>
        </w:rPr>
        <w:t>and thus the potential appeals cost of this secondary legislation was not monetised.</w:t>
      </w:r>
    </w:p>
    <w:p w14:paraId="1E1023E5" w14:textId="04EE9067" w:rsidR="00CE2D3C" w:rsidRPr="006B20DE" w:rsidRDefault="00D043CC" w:rsidP="00A80445">
      <w:pPr>
        <w:pStyle w:val="Heading3"/>
        <w:rPr>
          <w:rFonts w:eastAsia="Arial"/>
          <w:lang w:val="en-US"/>
        </w:rPr>
      </w:pPr>
      <w:bookmarkStart w:id="8" w:name="_Hlk102643236"/>
      <w:r w:rsidRPr="006B20DE">
        <w:rPr>
          <w:rFonts w:eastAsia="Arial"/>
          <w:lang w:val="en-US"/>
        </w:rPr>
        <w:t>Requests for r</w:t>
      </w:r>
      <w:r w:rsidR="00C16B48" w:rsidRPr="006B20DE">
        <w:rPr>
          <w:rFonts w:eastAsia="Arial"/>
          <w:lang w:val="en-US"/>
        </w:rPr>
        <w:t>e-rating</w:t>
      </w:r>
      <w:r w:rsidRPr="006B20DE">
        <w:rPr>
          <w:rFonts w:eastAsia="Arial"/>
          <w:lang w:val="en-US"/>
        </w:rPr>
        <w:t>s</w:t>
      </w:r>
    </w:p>
    <w:bookmarkEnd w:id="8"/>
    <w:p w14:paraId="5760AA26" w14:textId="5945B56D" w:rsidR="00C16B48" w:rsidRDefault="00A21EAB" w:rsidP="00E10B42">
      <w:pPr>
        <w:pStyle w:val="ListParagraph"/>
        <w:keepLines/>
        <w:numPr>
          <w:ilvl w:val="0"/>
          <w:numId w:val="7"/>
        </w:numPr>
        <w:spacing w:before="240" w:after="60"/>
        <w:rPr>
          <w:rFonts w:eastAsia="Arial"/>
          <w:lang w:val="en-US"/>
        </w:rPr>
      </w:pPr>
      <w:r w:rsidRPr="1C382D43">
        <w:rPr>
          <w:rFonts w:eastAsia="Arial"/>
          <w:lang w:val="en-US"/>
        </w:rPr>
        <w:t>Food businesses can request a new</w:t>
      </w:r>
      <w:r w:rsidR="003B1FB0" w:rsidRPr="1C382D43">
        <w:rPr>
          <w:rFonts w:eastAsia="Arial"/>
          <w:lang w:val="en-US"/>
        </w:rPr>
        <w:t xml:space="preserve"> rating</w:t>
      </w:r>
      <w:r w:rsidRPr="1C382D43">
        <w:rPr>
          <w:rFonts w:eastAsia="Arial"/>
          <w:lang w:val="en-US"/>
        </w:rPr>
        <w:t xml:space="preserve"> </w:t>
      </w:r>
      <w:r w:rsidR="00CC13C8" w:rsidRPr="1C382D43">
        <w:rPr>
          <w:rFonts w:eastAsia="Arial"/>
          <w:lang w:val="en-US"/>
        </w:rPr>
        <w:t xml:space="preserve">visit by an EHO to be conducted </w:t>
      </w:r>
      <w:r w:rsidR="00695DF9" w:rsidRPr="1C382D43">
        <w:rPr>
          <w:rFonts w:eastAsia="Arial"/>
          <w:lang w:val="en-US"/>
        </w:rPr>
        <w:t>if they feel that</w:t>
      </w:r>
      <w:r w:rsidR="006373D3" w:rsidRPr="1C382D43">
        <w:rPr>
          <w:rFonts w:eastAsia="Arial"/>
          <w:lang w:val="en-US"/>
        </w:rPr>
        <w:t xml:space="preserve"> since their last inspection there have been</w:t>
      </w:r>
      <w:r w:rsidR="00695DF9" w:rsidRPr="1C382D43">
        <w:rPr>
          <w:rFonts w:eastAsia="Arial"/>
          <w:lang w:val="en-US"/>
        </w:rPr>
        <w:t xml:space="preserve"> improvements in </w:t>
      </w:r>
      <w:r w:rsidR="005C2072" w:rsidRPr="1C382D43">
        <w:rPr>
          <w:rFonts w:eastAsia="Arial"/>
          <w:lang w:val="en-US"/>
        </w:rPr>
        <w:t>food hygiene practices</w:t>
      </w:r>
      <w:r w:rsidR="000A0662" w:rsidRPr="1C382D43">
        <w:rPr>
          <w:rFonts w:eastAsia="Arial"/>
          <w:lang w:val="en-US"/>
        </w:rPr>
        <w:t xml:space="preserve"> </w:t>
      </w:r>
      <w:r w:rsidR="006579C5" w:rsidRPr="1C382D43">
        <w:rPr>
          <w:rFonts w:eastAsia="Arial"/>
          <w:lang w:val="en-US"/>
        </w:rPr>
        <w:t>significant enough to be awarded a new rating.</w:t>
      </w:r>
      <w:r w:rsidR="005C2072" w:rsidRPr="1C382D43">
        <w:rPr>
          <w:rFonts w:eastAsia="Arial"/>
          <w:lang w:val="en-US"/>
        </w:rPr>
        <w:t xml:space="preserve"> </w:t>
      </w:r>
      <w:r w:rsidR="009D7556" w:rsidRPr="1C382D43">
        <w:rPr>
          <w:rFonts w:eastAsia="Arial"/>
          <w:lang w:val="en-US"/>
        </w:rPr>
        <w:t xml:space="preserve">It is anticipated that </w:t>
      </w:r>
      <w:r w:rsidR="000E16E7" w:rsidRPr="1C382D43">
        <w:rPr>
          <w:rFonts w:eastAsia="Arial"/>
          <w:lang w:val="en-US"/>
        </w:rPr>
        <w:t xml:space="preserve">the proposed regulations will </w:t>
      </w:r>
      <w:r w:rsidR="00772821" w:rsidRPr="1C382D43">
        <w:rPr>
          <w:rFonts w:eastAsia="Arial"/>
          <w:lang w:val="en-US"/>
        </w:rPr>
        <w:t>result in</w:t>
      </w:r>
      <w:r w:rsidR="00D23988" w:rsidRPr="1C382D43">
        <w:rPr>
          <w:rFonts w:eastAsia="Arial"/>
          <w:lang w:val="en-US"/>
        </w:rPr>
        <w:t xml:space="preserve"> </w:t>
      </w:r>
      <w:r w:rsidR="003C29E7" w:rsidRPr="1C382D43">
        <w:rPr>
          <w:rFonts w:eastAsia="Arial"/>
          <w:lang w:val="en-US"/>
        </w:rPr>
        <w:t>d</w:t>
      </w:r>
      <w:r w:rsidR="00D23988" w:rsidRPr="1C382D43">
        <w:rPr>
          <w:rFonts w:eastAsia="Arial"/>
          <w:lang w:val="en-US"/>
        </w:rPr>
        <w:t xml:space="preserve">istrict </w:t>
      </w:r>
      <w:r w:rsidR="003C29E7" w:rsidRPr="1C382D43">
        <w:rPr>
          <w:rFonts w:eastAsia="Arial"/>
          <w:lang w:val="en-US"/>
        </w:rPr>
        <w:t>c</w:t>
      </w:r>
      <w:r w:rsidR="00D23988" w:rsidRPr="1C382D43">
        <w:rPr>
          <w:rFonts w:eastAsia="Arial"/>
          <w:lang w:val="en-US"/>
        </w:rPr>
        <w:t xml:space="preserve">ouncils receiving an </w:t>
      </w:r>
      <w:r w:rsidR="009D7556" w:rsidRPr="1C382D43">
        <w:rPr>
          <w:rFonts w:eastAsia="Arial"/>
          <w:lang w:val="en-US"/>
        </w:rPr>
        <w:t xml:space="preserve">increase </w:t>
      </w:r>
      <w:r w:rsidR="00024A58" w:rsidRPr="1C382D43">
        <w:rPr>
          <w:rFonts w:eastAsia="Arial"/>
          <w:lang w:val="en-US"/>
        </w:rPr>
        <w:t xml:space="preserve">in </w:t>
      </w:r>
      <w:r w:rsidR="00D23988" w:rsidRPr="1C382D43">
        <w:rPr>
          <w:rFonts w:eastAsia="Arial"/>
          <w:lang w:val="en-US"/>
        </w:rPr>
        <w:t xml:space="preserve">the number of </w:t>
      </w:r>
      <w:r w:rsidR="00024A58" w:rsidRPr="1C382D43">
        <w:rPr>
          <w:rFonts w:eastAsia="Arial"/>
          <w:lang w:val="en-US"/>
        </w:rPr>
        <w:t>applications for re-rating</w:t>
      </w:r>
      <w:r w:rsidR="00203BE3" w:rsidRPr="1C382D43">
        <w:rPr>
          <w:rFonts w:eastAsia="Arial"/>
          <w:lang w:val="en-US"/>
        </w:rPr>
        <w:t xml:space="preserve"> inspections</w:t>
      </w:r>
      <w:r w:rsidR="000E32A0" w:rsidRPr="1C382D43">
        <w:rPr>
          <w:rFonts w:eastAsia="Arial"/>
          <w:lang w:val="en-US"/>
        </w:rPr>
        <w:t>. As</w:t>
      </w:r>
      <w:r w:rsidR="00E662F9" w:rsidRPr="1C382D43">
        <w:rPr>
          <w:rFonts w:eastAsia="Arial"/>
          <w:lang w:val="en-US"/>
        </w:rPr>
        <w:t xml:space="preserve"> costs for </w:t>
      </w:r>
      <w:r w:rsidR="00D043CC" w:rsidRPr="1C382D43">
        <w:rPr>
          <w:rFonts w:eastAsia="Arial"/>
          <w:lang w:val="en-US"/>
        </w:rPr>
        <w:t xml:space="preserve">requested </w:t>
      </w:r>
      <w:r w:rsidR="00E662F9" w:rsidRPr="1C382D43">
        <w:rPr>
          <w:rFonts w:eastAsia="Arial"/>
          <w:lang w:val="en-US"/>
        </w:rPr>
        <w:t xml:space="preserve">re-rating inspections are recovered </w:t>
      </w:r>
      <w:r w:rsidR="00994E5F" w:rsidRPr="1C382D43">
        <w:rPr>
          <w:rFonts w:eastAsia="Arial"/>
          <w:lang w:val="en-US"/>
        </w:rPr>
        <w:t>via a mandatory fee paid by the business</w:t>
      </w:r>
      <w:r w:rsidR="00E54CC1" w:rsidRPr="1C382D43">
        <w:rPr>
          <w:rFonts w:eastAsia="Arial"/>
          <w:lang w:val="en-US"/>
        </w:rPr>
        <w:t>, costs associated with</w:t>
      </w:r>
      <w:r w:rsidR="00C8242F" w:rsidRPr="1C382D43">
        <w:rPr>
          <w:rFonts w:eastAsia="Arial"/>
          <w:lang w:val="en-US"/>
        </w:rPr>
        <w:t xml:space="preserve"> this safeguard</w:t>
      </w:r>
      <w:r w:rsidR="00A44DEB" w:rsidRPr="1C382D43">
        <w:rPr>
          <w:rFonts w:eastAsia="Arial"/>
          <w:lang w:val="en-US"/>
        </w:rPr>
        <w:t xml:space="preserve"> will be considered under costs to businesses.</w:t>
      </w:r>
      <w:r w:rsidR="00692A44" w:rsidRPr="1C382D43">
        <w:rPr>
          <w:rFonts w:eastAsia="Arial"/>
          <w:lang w:val="en-US"/>
        </w:rPr>
        <w:t xml:space="preserve"> T</w:t>
      </w:r>
      <w:r w:rsidR="00564AEA" w:rsidRPr="1C382D43">
        <w:rPr>
          <w:rFonts w:eastAsia="Arial"/>
          <w:lang w:val="en-US"/>
        </w:rPr>
        <w:t>he exact associated cost</w:t>
      </w:r>
      <w:r w:rsidR="00692A44" w:rsidRPr="1C382D43">
        <w:rPr>
          <w:rFonts w:eastAsia="Arial"/>
          <w:lang w:val="en-US"/>
        </w:rPr>
        <w:t xml:space="preserve"> of expected re-rating activities</w:t>
      </w:r>
      <w:r w:rsidR="00564AEA" w:rsidRPr="1C382D43">
        <w:rPr>
          <w:rFonts w:eastAsia="Arial"/>
          <w:lang w:val="en-US"/>
        </w:rPr>
        <w:t xml:space="preserve"> </w:t>
      </w:r>
      <w:r w:rsidR="00692A44" w:rsidRPr="1C382D43">
        <w:rPr>
          <w:rFonts w:eastAsia="Arial"/>
          <w:lang w:val="en-US"/>
        </w:rPr>
        <w:t>is therefore</w:t>
      </w:r>
      <w:r w:rsidR="00564AEA" w:rsidRPr="1C382D43">
        <w:rPr>
          <w:rFonts w:eastAsia="Arial"/>
          <w:lang w:val="en-US"/>
        </w:rPr>
        <w:t xml:space="preserve"> outlined in </w:t>
      </w:r>
      <w:r w:rsidR="00022D5C" w:rsidRPr="1C382D43">
        <w:rPr>
          <w:rFonts w:eastAsia="Arial"/>
          <w:lang w:val="en-US"/>
        </w:rPr>
        <w:t>Paragraph 48 in the</w:t>
      </w:r>
      <w:r w:rsidR="00FD123A" w:rsidRPr="1C382D43">
        <w:rPr>
          <w:rFonts w:eastAsia="Arial"/>
          <w:lang w:val="en-US"/>
        </w:rPr>
        <w:t xml:space="preserve"> ‘One-off and ongoing costs to Businesses’</w:t>
      </w:r>
      <w:r w:rsidR="00564AEA" w:rsidRPr="1C382D43">
        <w:rPr>
          <w:rFonts w:eastAsia="Arial"/>
          <w:lang w:val="en-US"/>
        </w:rPr>
        <w:t xml:space="preserve"> section</w:t>
      </w:r>
      <w:r w:rsidR="00A76530" w:rsidRPr="1C382D43">
        <w:rPr>
          <w:rFonts w:eastAsia="Arial"/>
          <w:lang w:val="en-US"/>
        </w:rPr>
        <w:t xml:space="preserve"> of this Evidence Base</w:t>
      </w:r>
      <w:r w:rsidR="00A44DEB" w:rsidRPr="1C382D43">
        <w:rPr>
          <w:rFonts w:eastAsia="Arial"/>
          <w:lang w:val="en-US"/>
        </w:rPr>
        <w:t>.</w:t>
      </w:r>
    </w:p>
    <w:p w14:paraId="103816B2" w14:textId="2ECC6934" w:rsidR="00D043CC" w:rsidRPr="006B20DE" w:rsidRDefault="00D043CC" w:rsidP="00A80445">
      <w:pPr>
        <w:pStyle w:val="Heading3"/>
        <w:rPr>
          <w:rFonts w:eastAsia="Arial"/>
          <w:lang w:val="en-US"/>
        </w:rPr>
      </w:pPr>
      <w:r w:rsidRPr="006B20DE">
        <w:rPr>
          <w:rFonts w:eastAsia="Arial"/>
          <w:lang w:val="en-US"/>
        </w:rPr>
        <w:lastRenderedPageBreak/>
        <w:t>Right to Reply</w:t>
      </w:r>
    </w:p>
    <w:p w14:paraId="210BAD95" w14:textId="38F4DEAC" w:rsidR="00D043CC" w:rsidRDefault="00DE01D4" w:rsidP="00E10B42">
      <w:pPr>
        <w:pStyle w:val="ListParagraph"/>
        <w:keepLines/>
        <w:numPr>
          <w:ilvl w:val="0"/>
          <w:numId w:val="7"/>
        </w:numPr>
        <w:spacing w:before="240" w:after="60"/>
        <w:rPr>
          <w:rFonts w:eastAsia="Arial"/>
          <w:lang w:val="en-US"/>
        </w:rPr>
      </w:pPr>
      <w:r>
        <w:t xml:space="preserve">Operators have a ‘right of reply’ which may be published at food.gov.uk/ratings. </w:t>
      </w:r>
      <w:r w:rsidR="00C86ED2">
        <w:t>The purpose of the ‘right of reply’ is to enable the Operator to give an explanation of actions that have been taken following the inspection at which the rating was given or to give any information on particular circumstances at the time of the inspection</w:t>
      </w:r>
      <w:r>
        <w:t xml:space="preserve">. </w:t>
      </w:r>
      <w:r w:rsidR="00D94645" w:rsidRPr="1C382D43">
        <w:rPr>
          <w:rFonts w:eastAsia="Arial"/>
          <w:lang w:val="en-US"/>
        </w:rPr>
        <w:t xml:space="preserve">At the time of writing no businesses </w:t>
      </w:r>
      <w:r w:rsidR="009C5A1D" w:rsidRPr="1C382D43">
        <w:rPr>
          <w:rFonts w:eastAsia="Arial"/>
          <w:lang w:val="en-US"/>
        </w:rPr>
        <w:t xml:space="preserve">in NI on the FSA’s ratings website </w:t>
      </w:r>
      <w:r w:rsidR="00B4492A" w:rsidRPr="1C382D43">
        <w:rPr>
          <w:rFonts w:eastAsia="Arial"/>
          <w:lang w:val="en-US"/>
        </w:rPr>
        <w:t xml:space="preserve">were using the right to reply safeguard. </w:t>
      </w:r>
      <w:r w:rsidR="00037E1D" w:rsidRPr="1C382D43">
        <w:rPr>
          <w:rFonts w:eastAsia="Arial"/>
          <w:lang w:val="en-US"/>
        </w:rPr>
        <w:t xml:space="preserve">The historically low use of the </w:t>
      </w:r>
      <w:r w:rsidR="00972044" w:rsidRPr="1C382D43">
        <w:rPr>
          <w:rFonts w:eastAsia="Arial"/>
          <w:lang w:val="en-US"/>
        </w:rPr>
        <w:t>right to reply safeguard would indicate that</w:t>
      </w:r>
      <w:r w:rsidR="00317F51" w:rsidRPr="1C382D43">
        <w:rPr>
          <w:rFonts w:eastAsia="Arial"/>
          <w:lang w:val="en-US"/>
        </w:rPr>
        <w:t xml:space="preserve"> the proposed regulations would not have a significant impact</w:t>
      </w:r>
      <w:r w:rsidR="00650552" w:rsidRPr="1C382D43">
        <w:rPr>
          <w:rFonts w:eastAsia="Arial"/>
          <w:lang w:val="en-US"/>
        </w:rPr>
        <w:t xml:space="preserve"> </w:t>
      </w:r>
      <w:r w:rsidR="00DB5D03" w:rsidRPr="1C382D43">
        <w:rPr>
          <w:rFonts w:eastAsia="Arial"/>
          <w:lang w:val="en-US"/>
        </w:rPr>
        <w:t xml:space="preserve">on </w:t>
      </w:r>
      <w:r w:rsidR="003C29E7" w:rsidRPr="1C382D43">
        <w:rPr>
          <w:rFonts w:eastAsia="Arial"/>
          <w:lang w:val="en-US"/>
        </w:rPr>
        <w:t>d</w:t>
      </w:r>
      <w:r w:rsidR="00593FE6" w:rsidRPr="1C382D43">
        <w:rPr>
          <w:rFonts w:eastAsia="Arial"/>
          <w:lang w:val="en-US"/>
        </w:rPr>
        <w:t xml:space="preserve">istrict </w:t>
      </w:r>
      <w:r w:rsidR="003C29E7" w:rsidRPr="1C382D43">
        <w:rPr>
          <w:rFonts w:eastAsia="Arial"/>
          <w:lang w:val="en-US"/>
        </w:rPr>
        <w:t>c</w:t>
      </w:r>
      <w:r w:rsidR="00593FE6" w:rsidRPr="1C382D43">
        <w:rPr>
          <w:rFonts w:eastAsia="Arial"/>
          <w:lang w:val="en-US"/>
        </w:rPr>
        <w:t>ouncil</w:t>
      </w:r>
      <w:r w:rsidR="00DB5D03" w:rsidRPr="1C382D43">
        <w:rPr>
          <w:rFonts w:eastAsia="Arial"/>
          <w:lang w:val="en-US"/>
        </w:rPr>
        <w:t xml:space="preserve">s </w:t>
      </w:r>
      <w:r w:rsidR="002975DD" w:rsidRPr="1C382D43">
        <w:rPr>
          <w:rFonts w:eastAsia="Arial"/>
          <w:lang w:val="en-US"/>
        </w:rPr>
        <w:t>through</w:t>
      </w:r>
      <w:r w:rsidR="006E08E3" w:rsidRPr="1C382D43">
        <w:rPr>
          <w:rFonts w:eastAsia="Arial"/>
          <w:lang w:val="en-US"/>
        </w:rPr>
        <w:t xml:space="preserve"> this mechanism.</w:t>
      </w:r>
    </w:p>
    <w:p w14:paraId="12B9FE86" w14:textId="6E141BF4" w:rsidR="006F0D7D" w:rsidRPr="00A80445" w:rsidRDefault="006F0D7D" w:rsidP="00A80445">
      <w:pPr>
        <w:pStyle w:val="Heading2"/>
        <w:rPr>
          <w:b/>
          <w:bCs w:val="0"/>
        </w:rPr>
      </w:pPr>
      <w:r w:rsidRPr="00A80445">
        <w:rPr>
          <w:b/>
          <w:bCs w:val="0"/>
        </w:rPr>
        <w:t>One-off and ongoing costs to Businesses</w:t>
      </w:r>
    </w:p>
    <w:p w14:paraId="04660AA3" w14:textId="14814133" w:rsidR="006F0D7D" w:rsidRPr="00BF69FA" w:rsidRDefault="007A690C" w:rsidP="00A80445">
      <w:pPr>
        <w:pStyle w:val="Heading3"/>
      </w:pPr>
      <w:r>
        <w:t>One-off f</w:t>
      </w:r>
      <w:r w:rsidR="006F0D7D" w:rsidRPr="00BF69FA">
        <w:t>amiliarisation cost</w:t>
      </w:r>
      <w:r>
        <w:t>s</w:t>
      </w:r>
      <w:r w:rsidR="006F0D7D" w:rsidRPr="00BF69FA">
        <w:t xml:space="preserve"> </w:t>
      </w:r>
    </w:p>
    <w:p w14:paraId="173008DB" w14:textId="13D24962" w:rsidR="006F0D7D" w:rsidRPr="00EF4AE3" w:rsidRDefault="006F0D7D" w:rsidP="00E10B42">
      <w:pPr>
        <w:pStyle w:val="ListParagraph"/>
        <w:numPr>
          <w:ilvl w:val="0"/>
          <w:numId w:val="7"/>
        </w:numPr>
        <w:spacing w:before="240" w:after="60"/>
        <w:rPr>
          <w:color w:val="000000"/>
        </w:rPr>
      </w:pPr>
      <w:r w:rsidRPr="1C382D43">
        <w:rPr>
          <w:color w:val="000000" w:themeColor="text1"/>
        </w:rPr>
        <w:t>Under Option 2, there would be costs for businesses to read and familiarise themselves with the new online display requirement. The online display requirement would not need to be disseminated to all staff as only certain person</w:t>
      </w:r>
      <w:r w:rsidR="003F032A" w:rsidRPr="1C382D43">
        <w:rPr>
          <w:color w:val="000000" w:themeColor="text1"/>
        </w:rPr>
        <w:t>nel</w:t>
      </w:r>
      <w:r w:rsidRPr="1C382D43">
        <w:rPr>
          <w:color w:val="000000" w:themeColor="text1"/>
        </w:rPr>
        <w:t xml:space="preserve"> involved in the food business</w:t>
      </w:r>
      <w:r w:rsidR="003F032A" w:rsidRPr="1C382D43">
        <w:rPr>
          <w:color w:val="000000" w:themeColor="text1"/>
        </w:rPr>
        <w:t>’</w:t>
      </w:r>
      <w:r w:rsidRPr="1C382D43">
        <w:rPr>
          <w:color w:val="000000" w:themeColor="text1"/>
        </w:rPr>
        <w:t xml:space="preserve"> online presence would be required to action this requirement. It is estimated, from consultation with industry stakeholders, that familiarisation and dissemination would take 0.5 hours.</w:t>
      </w:r>
      <w:r>
        <w:br/>
      </w:r>
    </w:p>
    <w:p w14:paraId="28D06B03" w14:textId="77777777" w:rsidR="006F0D7D" w:rsidRPr="00591FE6" w:rsidRDefault="006F0D7D" w:rsidP="00E10B42">
      <w:pPr>
        <w:pStyle w:val="ListParagraph"/>
        <w:numPr>
          <w:ilvl w:val="0"/>
          <w:numId w:val="7"/>
        </w:numPr>
        <w:spacing w:before="240" w:after="60"/>
        <w:rPr>
          <w:rFonts w:eastAsia="Arial" w:cs="Arial"/>
          <w:color w:val="000000"/>
          <w:lang w:eastAsia="en-GB"/>
        </w:rPr>
      </w:pPr>
      <w:r w:rsidRPr="1C382D43">
        <w:rPr>
          <w:rFonts w:cs="Arial"/>
          <w:color w:val="000000" w:themeColor="text1"/>
          <w:lang w:eastAsia="en-GB"/>
        </w:rPr>
        <w:t xml:space="preserve">Familiarisation costs are quantified by multiplying the time it will take for a relevant employee, who oversees the business’s online ordering facility, to read the requirements of the online display regulations with the wage cost of that employee. We assume that familiarisation will be the responsibility of the manager, and that it will take one manager per business half an hour to familiarise themselves with the requirements of the scheme. We envisage that the cost of disseminating this information to other staff in the business will be negligible. </w:t>
      </w:r>
      <w:r w:rsidRPr="1C382D43">
        <w:rPr>
          <w:rFonts w:eastAsia="Arial" w:cs="Arial"/>
          <w:color w:val="000000" w:themeColor="text1"/>
          <w:lang w:val="en-US" w:eastAsia="en-GB"/>
        </w:rPr>
        <w:t>This is dependent on the information provided to businesses about the statutory scheme being clear and easy to understand.</w:t>
      </w:r>
    </w:p>
    <w:p w14:paraId="5EA6276E" w14:textId="77777777" w:rsidR="006F0D7D" w:rsidRPr="00024F13" w:rsidRDefault="006F0D7D" w:rsidP="006F0D7D">
      <w:pPr>
        <w:pStyle w:val="ListParagraph"/>
        <w:spacing w:before="240" w:after="60"/>
        <w:ind w:left="1071"/>
        <w:rPr>
          <w:rFonts w:cs="Arial"/>
          <w:bCs/>
          <w:color w:val="000000"/>
          <w:lang w:eastAsia="en-GB"/>
        </w:rPr>
      </w:pPr>
    </w:p>
    <w:p w14:paraId="1754A4E4" w14:textId="3FD5C7C9" w:rsidR="009B05EC" w:rsidRPr="00C00444" w:rsidRDefault="006F0D7D" w:rsidP="00E10B42">
      <w:pPr>
        <w:pStyle w:val="ListParagraph"/>
        <w:numPr>
          <w:ilvl w:val="0"/>
          <w:numId w:val="7"/>
        </w:numPr>
        <w:rPr>
          <w:rFonts w:eastAsia="Calibri"/>
          <w:lang w:val="en-US"/>
        </w:rPr>
      </w:pPr>
      <w:r w:rsidRPr="00534664">
        <w:rPr>
          <w:rFonts w:eastAsia="Calibri"/>
          <w:color w:val="000000" w:themeColor="text1"/>
        </w:rPr>
        <w:t>The median hourly wage of managers in the affected sectors ranges from £</w:t>
      </w:r>
      <w:r w:rsidRPr="00534664">
        <w:rPr>
          <w:color w:val="000000" w:themeColor="text1"/>
        </w:rPr>
        <w:t>1</w:t>
      </w:r>
      <w:r w:rsidR="003404B2" w:rsidRPr="00534664">
        <w:rPr>
          <w:color w:val="000000" w:themeColor="text1"/>
        </w:rPr>
        <w:t>3.35</w:t>
      </w:r>
      <w:r w:rsidRPr="00534664">
        <w:rPr>
          <w:rFonts w:eastAsia="Calibri"/>
          <w:color w:val="000000" w:themeColor="text1"/>
        </w:rPr>
        <w:t xml:space="preserve"> to £</w:t>
      </w:r>
      <w:r w:rsidR="00E33C02" w:rsidRPr="00534664">
        <w:rPr>
          <w:color w:val="000000" w:themeColor="text1"/>
        </w:rPr>
        <w:t>27.94</w:t>
      </w:r>
      <w:r>
        <w:rPr>
          <w:rFonts w:eastAsia="Calibri"/>
          <w:color w:val="000000" w:themeColor="text1"/>
        </w:rPr>
        <w:t xml:space="preserve"> </w:t>
      </w:r>
      <w:r w:rsidRPr="00534664">
        <w:rPr>
          <w:rFonts w:eastAsia="Calibri"/>
          <w:color w:val="000000" w:themeColor="text1"/>
        </w:rPr>
        <w:t xml:space="preserve">(including an uplift of </w:t>
      </w:r>
      <w:r w:rsidR="002512D8" w:rsidRPr="00534664">
        <w:rPr>
          <w:rFonts w:eastAsia="Calibri"/>
          <w:color w:val="000000" w:themeColor="text1"/>
        </w:rPr>
        <w:t>22</w:t>
      </w:r>
      <w:r w:rsidRPr="00534664">
        <w:rPr>
          <w:rFonts w:eastAsia="Calibri"/>
          <w:color w:val="000000" w:themeColor="text1"/>
        </w:rPr>
        <w:t>% to account for overheads)</w:t>
      </w:r>
      <w:r w:rsidR="00AB62C4">
        <w:rPr>
          <w:rFonts w:eastAsia="Calibri"/>
          <w:color w:val="000000" w:themeColor="text1"/>
        </w:rPr>
        <w:t xml:space="preserve"> according to the latest</w:t>
      </w:r>
      <w:r w:rsidR="00755ABC">
        <w:rPr>
          <w:rFonts w:eastAsia="Calibri"/>
          <w:color w:val="000000" w:themeColor="text1"/>
        </w:rPr>
        <w:t xml:space="preserve"> ASHE wage dataset </w:t>
      </w:r>
      <w:r w:rsidR="00B60896">
        <w:rPr>
          <w:rFonts w:eastAsia="Calibri"/>
          <w:color w:val="000000" w:themeColor="text1"/>
        </w:rPr>
        <w:t>for 2021</w:t>
      </w:r>
      <w:r w:rsidRPr="00534664">
        <w:rPr>
          <w:rFonts w:eastAsia="Calibri"/>
          <w:color w:val="000000" w:themeColor="text1"/>
        </w:rPr>
        <w:t>.</w:t>
      </w:r>
      <w:r w:rsidDel="00842500">
        <w:rPr>
          <w:rStyle w:val="FootnoteReference"/>
          <w:rFonts w:eastAsia="Arial"/>
          <w:color w:val="000000" w:themeColor="text1"/>
        </w:rPr>
        <w:footnoteReference w:id="20"/>
      </w:r>
      <w:r w:rsidRPr="00534664" w:rsidDel="00842500">
        <w:rPr>
          <w:rFonts w:eastAsia="Calibri"/>
          <w:color w:val="000000" w:themeColor="text1"/>
        </w:rPr>
        <w:t xml:space="preserve"> </w:t>
      </w:r>
      <w:r w:rsidRPr="00534664">
        <w:rPr>
          <w:rFonts w:eastAsia="Calibri"/>
          <w:color w:val="000000" w:themeColor="text1"/>
        </w:rPr>
        <w:t>Multiplying the median wage</w:t>
      </w:r>
      <w:r w:rsidR="00E33C02" w:rsidRPr="00534664">
        <w:rPr>
          <w:rFonts w:eastAsia="Calibri"/>
          <w:color w:val="000000" w:themeColor="text1"/>
        </w:rPr>
        <w:t xml:space="preserve"> </w:t>
      </w:r>
      <w:r w:rsidR="00E33C02" w:rsidRPr="00534664">
        <w:rPr>
          <w:color w:val="000000" w:themeColor="text1"/>
        </w:rPr>
        <w:t>for each category</w:t>
      </w:r>
      <w:r w:rsidRPr="00534664">
        <w:rPr>
          <w:color w:val="000000" w:themeColor="text1"/>
        </w:rPr>
        <w:t xml:space="preserve"> </w:t>
      </w:r>
      <w:r w:rsidRPr="00534664">
        <w:rPr>
          <w:rFonts w:eastAsia="Calibri"/>
          <w:color w:val="000000" w:themeColor="text1"/>
        </w:rPr>
        <w:t>with the total time required for familiarisation (0.5 hours) results in an average cost per business of £7.</w:t>
      </w:r>
      <w:r w:rsidR="007952C6" w:rsidRPr="00534664">
        <w:rPr>
          <w:color w:val="000000" w:themeColor="text1"/>
        </w:rPr>
        <w:t xml:space="preserve">71, and a total </w:t>
      </w:r>
      <w:r w:rsidR="002D5FF5" w:rsidRPr="00534664">
        <w:rPr>
          <w:color w:val="000000" w:themeColor="text1"/>
        </w:rPr>
        <w:t>one-off cost</w:t>
      </w:r>
      <w:r w:rsidR="00BA4420">
        <w:rPr>
          <w:color w:val="000000" w:themeColor="text1"/>
        </w:rPr>
        <w:t xml:space="preserve"> to industry</w:t>
      </w:r>
      <w:r w:rsidR="002D5FF5" w:rsidRPr="00534664">
        <w:rPr>
          <w:color w:val="000000" w:themeColor="text1"/>
        </w:rPr>
        <w:t xml:space="preserve"> in the first year of the appraisal period of £</w:t>
      </w:r>
      <w:r w:rsidR="00230226">
        <w:rPr>
          <w:color w:val="000000" w:themeColor="text1"/>
        </w:rPr>
        <w:t>99</w:t>
      </w:r>
      <w:r w:rsidR="000E6236" w:rsidRPr="00534664">
        <w:rPr>
          <w:color w:val="000000" w:themeColor="text1"/>
        </w:rPr>
        <w:t>,000</w:t>
      </w:r>
      <w:r w:rsidRPr="00534664">
        <w:rPr>
          <w:color w:val="000000" w:themeColor="text1"/>
        </w:rPr>
        <w:t>.</w:t>
      </w:r>
      <w:r w:rsidR="000E44BB" w:rsidRPr="00534664">
        <w:rPr>
          <w:color w:val="000000" w:themeColor="text1"/>
        </w:rPr>
        <w:t xml:space="preserve"> </w:t>
      </w:r>
      <w:r w:rsidRPr="00534664">
        <w:rPr>
          <w:rFonts w:eastAsia="Calibri"/>
          <w:color w:val="000000" w:themeColor="text1"/>
        </w:rPr>
        <w:t>This is considered to be an upper estimate, because for aggregators, carriers, chain supermarkets and franchised businesses familiarisation might only take place at a senior (business) level, rather than in each establishment.</w:t>
      </w:r>
    </w:p>
    <w:p w14:paraId="7ACBD5AA" w14:textId="77777777" w:rsidR="00483470" w:rsidRPr="00C00444" w:rsidRDefault="00483470" w:rsidP="006B20DE">
      <w:pPr>
        <w:rPr>
          <w:rFonts w:eastAsia="Arial"/>
          <w:lang w:val="en-US"/>
        </w:rPr>
      </w:pPr>
    </w:p>
    <w:p w14:paraId="32C2C6A5" w14:textId="154CE739" w:rsidR="008173FA" w:rsidRPr="006B20DE" w:rsidRDefault="007576C3" w:rsidP="00A80445">
      <w:pPr>
        <w:pStyle w:val="Heading3"/>
        <w:rPr>
          <w:color w:val="000000"/>
        </w:rPr>
      </w:pPr>
      <w:r>
        <w:t>One-off cost of u</w:t>
      </w:r>
      <w:r w:rsidR="008173FA" w:rsidRPr="00D40B6A">
        <w:t>pdating online facilities</w:t>
      </w:r>
    </w:p>
    <w:p w14:paraId="4B62317D" w14:textId="5CD19D07" w:rsidR="008173FA" w:rsidRPr="00012B61" w:rsidRDefault="008173FA" w:rsidP="00E10B42">
      <w:pPr>
        <w:pStyle w:val="ListParagraph"/>
        <w:keepLines/>
        <w:numPr>
          <w:ilvl w:val="0"/>
          <w:numId w:val="7"/>
        </w:numPr>
        <w:spacing w:before="240" w:after="60"/>
        <w:rPr>
          <w:color w:val="000000"/>
        </w:rPr>
      </w:pPr>
      <w:r>
        <w:t xml:space="preserve">In order to comply with the provision to display a valid rating online, businesses will be required to update their online facility. </w:t>
      </w:r>
      <w:r w:rsidRPr="1C382D43">
        <w:rPr>
          <w:rFonts w:eastAsia="Arial"/>
          <w:lang w:val="en-US"/>
        </w:rPr>
        <w:t>This will impose a cost for businesses that have their own online food-ordering facilities and also to online intermediary (also commonly referred to as delivery/aggregator) platforms. This cost will come in the form of updating the website or online platform to allow for the display of food hygiene ratings in line with the location and manner of display as defined in the proposed legislation. The legislation has been constructed to require a business to display their rating online at</w:t>
      </w:r>
      <w:r>
        <w:t xml:space="preserve"> a point equivalent to the door/window of a physical establishment, </w:t>
      </w:r>
      <w:r w:rsidRPr="1C382D43">
        <w:rPr>
          <w:rFonts w:eastAsia="Arial"/>
          <w:lang w:val="en-US"/>
        </w:rPr>
        <w:t xml:space="preserve">therefore the appropriate location of display is dependent upon the consumer journey when using different types of online facility. The manner of display is defined as readily seen and easily read, in line with the wording in the Food Hygiene Rating (Regulations) NI 2016. </w:t>
      </w:r>
    </w:p>
    <w:p w14:paraId="208AB53B" w14:textId="28F8C26A" w:rsidR="00012B61" w:rsidRPr="00012B61" w:rsidRDefault="00012B61" w:rsidP="00012B61">
      <w:pPr>
        <w:pStyle w:val="ListParagraph"/>
        <w:keepLines/>
        <w:spacing w:before="240" w:after="60"/>
        <w:rPr>
          <w:color w:val="000000"/>
        </w:rPr>
      </w:pPr>
    </w:p>
    <w:p w14:paraId="512E8414" w14:textId="4F1284FA" w:rsidR="008173FA" w:rsidRDefault="008173FA" w:rsidP="00E10B42">
      <w:pPr>
        <w:pStyle w:val="ListParagraph"/>
        <w:keepLines/>
        <w:numPr>
          <w:ilvl w:val="0"/>
          <w:numId w:val="7"/>
        </w:numPr>
        <w:spacing w:before="240" w:after="60"/>
        <w:rPr>
          <w:rFonts w:eastAsia="Arial"/>
          <w:lang w:val="en-US"/>
        </w:rPr>
      </w:pPr>
      <w:r w:rsidRPr="1C382D43">
        <w:rPr>
          <w:rFonts w:eastAsia="Arial"/>
          <w:lang w:val="en-US"/>
        </w:rPr>
        <w:t xml:space="preserve">There remains a very high level of uncertainty around the true number of online businesses that are operating and that would need to display their FHRS rating. The </w:t>
      </w:r>
      <w:r w:rsidR="00D07AE6" w:rsidRPr="1C382D43">
        <w:rPr>
          <w:rFonts w:eastAsia="Arial"/>
          <w:lang w:val="en-US"/>
        </w:rPr>
        <w:t>following</w:t>
      </w:r>
      <w:r w:rsidRPr="1C382D43">
        <w:rPr>
          <w:rFonts w:eastAsia="Arial"/>
          <w:lang w:val="en-US"/>
        </w:rPr>
        <w:t xml:space="preserve"> estimates are based on the FSA’s latest evidence and insight but might underestimate the true number of affected businesses as the FSA might not be aware of all (unregistered) businesses currently operating in the market. Assumptions might need to be adjusted as new information becomes available. </w:t>
      </w:r>
      <w:bookmarkStart w:id="9" w:name="_Hlk95386853"/>
      <w:r w:rsidRPr="1C382D43">
        <w:rPr>
          <w:rFonts w:eastAsia="Arial"/>
          <w:lang w:val="en-US"/>
        </w:rPr>
        <w:t>The FSA would appreciate stakeholders’ views on the expected number of affected businesses.</w:t>
      </w:r>
      <w:bookmarkEnd w:id="9"/>
      <w:r>
        <w:br/>
      </w:r>
    </w:p>
    <w:p w14:paraId="68AA6450" w14:textId="008FF631" w:rsidR="004E4155" w:rsidRPr="004E4155" w:rsidRDefault="00BF4E9C" w:rsidP="00E10B42">
      <w:pPr>
        <w:pStyle w:val="ListParagraph"/>
        <w:keepLines/>
        <w:numPr>
          <w:ilvl w:val="0"/>
          <w:numId w:val="7"/>
        </w:numPr>
        <w:spacing w:before="240" w:after="60"/>
        <w:rPr>
          <w:rFonts w:eastAsia="Arial"/>
          <w:lang w:val="en-US"/>
        </w:rPr>
      </w:pPr>
      <w:r w:rsidRPr="1C382D43">
        <w:rPr>
          <w:rFonts w:eastAsia="Arial"/>
          <w:lang w:val="en-US"/>
        </w:rPr>
        <w:t xml:space="preserve">The estimated cost of uploading a rating icon or updating online facilities to enable display of a rating icon ranges from £0 to £5,000 depending on the type of online facility used. </w:t>
      </w:r>
      <w:r w:rsidR="008173FA" w:rsidRPr="1C382D43">
        <w:rPr>
          <w:rFonts w:eastAsia="Arial"/>
          <w:lang w:val="en-US"/>
        </w:rPr>
        <w:t>The cost of updating the online facility to allow for the display of FHRS ratings will vary significantly from business to business depending on their size and the nature of their online presence. However, it is assumed to be very small for the majority of affected stakeholders due to FSA</w:t>
      </w:r>
      <w:r w:rsidR="008173FA">
        <w:t xml:space="preserve"> making hygiene ratings freely available as open source data and the automatic update of new ratings mechanism built into the rating coding.</w:t>
      </w:r>
      <w:r>
        <w:br/>
      </w:r>
    </w:p>
    <w:p w14:paraId="6C642DB1" w14:textId="7E567CAF" w:rsidR="00045E95" w:rsidRPr="00036A7D" w:rsidRDefault="008173FA" w:rsidP="00E10B42">
      <w:pPr>
        <w:pStyle w:val="ListParagraph"/>
        <w:keepLines/>
        <w:numPr>
          <w:ilvl w:val="0"/>
          <w:numId w:val="7"/>
        </w:numPr>
        <w:spacing w:before="240" w:after="60"/>
        <w:rPr>
          <w:rFonts w:eastAsia="Arial"/>
          <w:lang w:val="en-US"/>
        </w:rPr>
      </w:pPr>
      <w:r w:rsidRPr="1C382D43">
        <w:rPr>
          <w:rFonts w:eastAsia="Arial"/>
          <w:lang w:val="en-US"/>
        </w:rPr>
        <w:t>The estimated cost range of £0 - £5,000 per business</w:t>
      </w:r>
      <w:r w:rsidR="003F6196" w:rsidRPr="1C382D43">
        <w:rPr>
          <w:rFonts w:eastAsia="Arial"/>
          <w:lang w:val="en-US"/>
        </w:rPr>
        <w:t xml:space="preserve"> consists of three cost bands: £0, £250 and £5,000</w:t>
      </w:r>
      <w:r w:rsidRPr="1C382D43">
        <w:rPr>
          <w:rFonts w:eastAsia="Arial"/>
          <w:lang w:val="en-US"/>
        </w:rPr>
        <w:t>. Costs for small to medium sized businesses</w:t>
      </w:r>
      <w:r w:rsidR="00312080" w:rsidRPr="1C382D43">
        <w:rPr>
          <w:rFonts w:eastAsia="Arial"/>
          <w:lang w:val="en-US"/>
        </w:rPr>
        <w:t xml:space="preserve"> that only use social media pages and marketplace facilities</w:t>
      </w:r>
      <w:r w:rsidRPr="1C382D43">
        <w:rPr>
          <w:rFonts w:eastAsia="Arial"/>
          <w:lang w:val="en-US"/>
        </w:rPr>
        <w:t xml:space="preserve"> are estimated to be £0</w:t>
      </w:r>
      <w:r w:rsidR="00312080" w:rsidRPr="1C382D43">
        <w:rPr>
          <w:rFonts w:eastAsia="Arial"/>
          <w:lang w:val="en-US"/>
        </w:rPr>
        <w:t>,</w:t>
      </w:r>
      <w:r w:rsidRPr="1C382D43">
        <w:rPr>
          <w:rFonts w:eastAsia="Arial"/>
          <w:lang w:val="en-US"/>
        </w:rPr>
        <w:t xml:space="preserve"> as these business</w:t>
      </w:r>
      <w:r w:rsidR="003F6196" w:rsidRPr="1C382D43">
        <w:rPr>
          <w:rFonts w:eastAsia="Arial"/>
          <w:lang w:val="en-US"/>
        </w:rPr>
        <w:t>es</w:t>
      </w:r>
      <w:r w:rsidRPr="1C382D43">
        <w:rPr>
          <w:rFonts w:eastAsia="Arial"/>
          <w:lang w:val="en-US"/>
        </w:rPr>
        <w:t xml:space="preserve"> will be able to access the forthcoming guidance to assist businesses to add the new digital online icons to their website or social media page. The digital icons and guidance will be freely available</w:t>
      </w:r>
      <w:r w:rsidR="003F6196" w:rsidRPr="1C382D43">
        <w:rPr>
          <w:rFonts w:eastAsia="Arial"/>
          <w:lang w:val="en-US"/>
        </w:rPr>
        <w:t xml:space="preserve">, thus the only cost involved is a time cost of placing the image </w:t>
      </w:r>
      <w:r w:rsidR="00413E3D" w:rsidRPr="1C382D43">
        <w:rPr>
          <w:rFonts w:eastAsia="Arial"/>
          <w:lang w:val="en-US"/>
        </w:rPr>
        <w:t>in the appropriate area of the social media ordering page, which is assumed to be negligible</w:t>
      </w:r>
      <w:r w:rsidRPr="1C382D43">
        <w:rPr>
          <w:rFonts w:eastAsia="Arial"/>
          <w:lang w:val="en-US"/>
        </w:rPr>
        <w:t>.</w:t>
      </w:r>
      <w:r w:rsidR="002717EE" w:rsidRPr="1C382D43">
        <w:rPr>
          <w:rFonts w:eastAsia="Arial"/>
          <w:lang w:val="en-US"/>
        </w:rPr>
        <w:t xml:space="preserve"> The second </w:t>
      </w:r>
      <w:r w:rsidR="00A45463" w:rsidRPr="1C382D43">
        <w:rPr>
          <w:rFonts w:eastAsia="Arial"/>
          <w:lang w:val="en-US"/>
        </w:rPr>
        <w:t xml:space="preserve">band of £250 has been applied to businesses using their own bespoke website to host an ordering </w:t>
      </w:r>
      <w:r w:rsidR="00DF3FDF" w:rsidRPr="1C382D43">
        <w:rPr>
          <w:rFonts w:eastAsia="Arial"/>
          <w:lang w:val="en-US"/>
        </w:rPr>
        <w:t>facility and</w:t>
      </w:r>
      <w:r w:rsidR="000E4BD9" w:rsidRPr="1C382D43">
        <w:rPr>
          <w:rFonts w:eastAsia="Arial"/>
          <w:lang w:val="en-US"/>
        </w:rPr>
        <w:t xml:space="preserve"> attempts to </w:t>
      </w:r>
      <w:r w:rsidR="00426E32" w:rsidRPr="1C382D43">
        <w:rPr>
          <w:rFonts w:eastAsia="Arial"/>
          <w:lang w:val="en-US"/>
        </w:rPr>
        <w:t xml:space="preserve">capture the web development costs associated with updating the website to display the </w:t>
      </w:r>
      <w:r w:rsidR="00A7292F" w:rsidRPr="1C382D43">
        <w:rPr>
          <w:rFonts w:eastAsia="Arial"/>
          <w:lang w:val="en-US"/>
        </w:rPr>
        <w:t>FHR sticker.</w:t>
      </w:r>
      <w:r w:rsidRPr="1C382D43">
        <w:rPr>
          <w:rFonts w:eastAsia="Arial"/>
          <w:lang w:val="en-US"/>
        </w:rPr>
        <w:t xml:space="preserve"> The</w:t>
      </w:r>
      <w:r w:rsidR="00C170C9">
        <w:t xml:space="preserve"> final £5,000 band applies to online ordering </w:t>
      </w:r>
      <w:r w:rsidR="00DF3FDF">
        <w:t>aggregators</w:t>
      </w:r>
      <w:r w:rsidR="00C170C9">
        <w:t xml:space="preserve"> and attempts to capture similar web design costs to the £250 band</w:t>
      </w:r>
      <w:r w:rsidR="00D70104">
        <w:t xml:space="preserve">, but account for the increased costs associated with the increased scale and complexity of these aggregator websites and mobile applications. </w:t>
      </w:r>
      <w:r w:rsidR="00215EA7">
        <w:t>These three cost thresholds mirror analysis conducted as part of the impact assessment for introducing mandatory physical display in England. While there remains a high level of uncertainty around these figures, there is reasonable confidence in the notion that social media marketplace sellers would incur zero cost from adding an FSA-supplied FHR sticker image to their profile, as well as the general</w:t>
      </w:r>
      <w:r w:rsidR="00036A7D">
        <w:t xml:space="preserve"> </w:t>
      </w:r>
      <w:r w:rsidR="00215EA7">
        <w:t>trend that the greater web development costs would be incurred by the larger online ordering aggregators.</w:t>
      </w:r>
    </w:p>
    <w:tbl>
      <w:tblPr>
        <w:tblStyle w:val="TableGrid"/>
        <w:tblpPr w:leftFromText="181" w:rightFromText="181" w:vertAnchor="page" w:horzAnchor="margin" w:tblpXSpec="right" w:tblpY="571"/>
        <w:tblW w:w="0" w:type="auto"/>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D9D9D9" w:themeFill="background1" w:themeFillShade="D9"/>
        <w:tblCellMar>
          <w:top w:w="113" w:type="dxa"/>
        </w:tblCellMar>
        <w:tblLook w:val="06A0" w:firstRow="1" w:lastRow="0" w:firstColumn="1" w:lastColumn="0" w:noHBand="1" w:noVBand="1"/>
        <w:tblCaption w:val="Table cell"/>
        <w:tblDescription w:val="Added to emphasise the following content in the cell."/>
      </w:tblPr>
      <w:tblGrid>
        <w:gridCol w:w="9917"/>
      </w:tblGrid>
      <w:tr w:rsidR="009929F5" w14:paraId="37383C51" w14:textId="77777777" w:rsidTr="00A80445">
        <w:trPr>
          <w:trHeight w:val="1392"/>
          <w:tblHeader/>
        </w:trPr>
        <w:tc>
          <w:tcPr>
            <w:tcW w:w="9917" w:type="dxa"/>
            <w:shd w:val="clear" w:color="auto" w:fill="D9D9D9" w:themeFill="background1" w:themeFillShade="D9"/>
            <w:tcMar>
              <w:top w:w="0" w:type="dxa"/>
            </w:tcMar>
          </w:tcPr>
          <w:p w14:paraId="60FD98FF" w14:textId="77777777" w:rsidR="009929F5" w:rsidRPr="00A80445" w:rsidRDefault="009929F5" w:rsidP="009929F5">
            <w:pPr>
              <w:pStyle w:val="Colouredboxheadline"/>
              <w:framePr w:hSpace="0" w:wrap="auto" w:vAnchor="margin" w:hAnchor="text" w:yAlign="inline"/>
              <w:spacing w:before="240" w:after="60"/>
              <w:ind w:left="-74"/>
              <w:rPr>
                <w:color w:val="auto"/>
                <w:sz w:val="24"/>
                <w:szCs w:val="24"/>
              </w:rPr>
            </w:pPr>
            <w:r w:rsidRPr="00A80445">
              <w:rPr>
                <w:color w:val="auto"/>
                <w:sz w:val="24"/>
                <w:szCs w:val="24"/>
              </w:rPr>
              <w:t>Question 1:</w:t>
            </w:r>
          </w:p>
          <w:p w14:paraId="7BE34FAA" w14:textId="77777777" w:rsidR="009929F5" w:rsidRPr="00A80445" w:rsidRDefault="009929F5" w:rsidP="009929F5">
            <w:pPr>
              <w:pStyle w:val="Colouredboxheadline"/>
              <w:framePr w:hSpace="0" w:wrap="auto" w:vAnchor="margin" w:hAnchor="text" w:yAlign="inline"/>
              <w:spacing w:before="240" w:after="60"/>
              <w:ind w:left="-74"/>
              <w:rPr>
                <w:color w:val="auto"/>
                <w:sz w:val="24"/>
                <w:szCs w:val="24"/>
                <w:lang w:val="en-GB"/>
              </w:rPr>
            </w:pPr>
            <w:r w:rsidRPr="00A80445">
              <w:rPr>
                <w:color w:val="auto"/>
                <w:sz w:val="24"/>
                <w:szCs w:val="24"/>
                <w:lang w:val="en-GB"/>
              </w:rPr>
              <w:t>Do you agree with the estimated costs of updating your online facilities? If you do not agree please provide estimated costs and provide reasons for your suggestion</w:t>
            </w:r>
          </w:p>
          <w:p w14:paraId="5A743593" w14:textId="77777777" w:rsidR="009929F5" w:rsidRPr="00D03590" w:rsidRDefault="009929F5" w:rsidP="00B425F9">
            <w:pPr>
              <w:pStyle w:val="Colouredboxheadline"/>
              <w:framePr w:hSpace="0" w:wrap="auto" w:vAnchor="margin" w:hAnchor="text" w:yAlign="inline"/>
              <w:spacing w:before="240" w:after="60"/>
              <w:rPr>
                <w:b/>
                <w:bCs w:val="0"/>
                <w:sz w:val="24"/>
                <w:szCs w:val="24"/>
                <w:lang w:val="en-GB"/>
              </w:rPr>
            </w:pPr>
          </w:p>
        </w:tc>
      </w:tr>
    </w:tbl>
    <w:p w14:paraId="152E482E" w14:textId="734C32EA" w:rsidR="005B2573" w:rsidRPr="005F140C" w:rsidRDefault="005B2573" w:rsidP="005F140C">
      <w:pPr>
        <w:rPr>
          <w:rFonts w:eastAsia="Arial"/>
          <w:lang w:val="en-US"/>
        </w:rPr>
      </w:pPr>
    </w:p>
    <w:p w14:paraId="3EC0C1B2" w14:textId="0A55CBE3" w:rsidR="009C3063" w:rsidRPr="00B109D4" w:rsidRDefault="002A3ADB" w:rsidP="00E10B42">
      <w:pPr>
        <w:pStyle w:val="ListParagraph"/>
        <w:numPr>
          <w:ilvl w:val="0"/>
          <w:numId w:val="7"/>
        </w:numPr>
        <w:rPr>
          <w:rFonts w:eastAsia="Arial"/>
          <w:lang w:val="en-US"/>
        </w:rPr>
      </w:pPr>
      <w:r w:rsidRPr="00D40B6A">
        <w:rPr>
          <w:rFonts w:eastAsia="Arial"/>
          <w:lang w:val="en-US"/>
        </w:rPr>
        <w:t>For the purposes of quantifying these online display update costs for this impact assessment, t</w:t>
      </w:r>
      <w:r w:rsidR="00912236" w:rsidRPr="00AF52B0">
        <w:rPr>
          <w:rFonts w:eastAsia="Arial"/>
          <w:lang w:val="en-US"/>
        </w:rPr>
        <w:t xml:space="preserve">he 12,779 businesses in scope </w:t>
      </w:r>
      <w:r w:rsidR="002A0B40" w:rsidRPr="00AF52B0">
        <w:rPr>
          <w:rFonts w:eastAsia="Arial"/>
          <w:lang w:val="en-US"/>
        </w:rPr>
        <w:t xml:space="preserve">of this secondary legislation have been allocated to </w:t>
      </w:r>
      <w:r w:rsidRPr="004F6CF0">
        <w:rPr>
          <w:rFonts w:eastAsia="Arial"/>
          <w:lang w:val="en-US"/>
        </w:rPr>
        <w:t xml:space="preserve">each of the bands in the following way: </w:t>
      </w:r>
      <w:r w:rsidR="00750657" w:rsidRPr="004F6CF0">
        <w:rPr>
          <w:rFonts w:eastAsia="Arial"/>
          <w:lang w:val="en-US"/>
        </w:rPr>
        <w:t>The 2019 BMG report found that 17% of businesses in Northern Ireland used their own bespoke online ordering facility</w:t>
      </w:r>
      <w:r w:rsidR="00DD4CE0" w:rsidRPr="00E1766D">
        <w:rPr>
          <w:rFonts w:eastAsia="Arial"/>
          <w:lang w:val="en-US"/>
        </w:rPr>
        <w:t>, 28% of which already displayed their FHR stic</w:t>
      </w:r>
      <w:r w:rsidR="00DD4CE0" w:rsidRPr="00EB3DB5">
        <w:rPr>
          <w:rFonts w:eastAsia="Arial"/>
          <w:lang w:val="en-US"/>
        </w:rPr>
        <w:t>ker voluntarily.</w:t>
      </w:r>
      <w:r w:rsidR="00844042">
        <w:rPr>
          <w:rStyle w:val="FootnoteReference"/>
          <w:rFonts w:eastAsia="Arial"/>
          <w:lang w:val="en-US"/>
        </w:rPr>
        <w:footnoteReference w:id="21"/>
      </w:r>
      <w:r w:rsidR="00DD4CE0" w:rsidRPr="00EB3DB5">
        <w:rPr>
          <w:rFonts w:eastAsia="Arial"/>
          <w:lang w:val="en-US"/>
        </w:rPr>
        <w:t xml:space="preserve"> Applying these figures to the 12,779 businesses in scope of the</w:t>
      </w:r>
      <w:r w:rsidR="00BD5337" w:rsidRPr="00EB3DB5">
        <w:rPr>
          <w:rFonts w:eastAsia="Arial"/>
          <w:lang w:val="en-US"/>
        </w:rPr>
        <w:t xml:space="preserve"> new</w:t>
      </w:r>
      <w:r w:rsidR="00DD4CE0" w:rsidRPr="00EB3DB5">
        <w:rPr>
          <w:rFonts w:eastAsia="Arial"/>
          <w:lang w:val="en-US"/>
        </w:rPr>
        <w:t xml:space="preserve"> </w:t>
      </w:r>
      <w:r w:rsidR="00BD5337" w:rsidRPr="00A90B3E">
        <w:rPr>
          <w:rFonts w:eastAsia="Arial"/>
          <w:lang w:val="en-US"/>
        </w:rPr>
        <w:t>legislation, it is estimate</w:t>
      </w:r>
      <w:r w:rsidR="000F2494" w:rsidRPr="00AA5AA3">
        <w:rPr>
          <w:rFonts w:eastAsia="Arial"/>
          <w:lang w:val="en-US"/>
        </w:rPr>
        <w:t>d</w:t>
      </w:r>
      <w:r w:rsidR="00BD5337" w:rsidRPr="00AA5AA3">
        <w:rPr>
          <w:rFonts w:eastAsia="Arial"/>
          <w:lang w:val="en-US"/>
        </w:rPr>
        <w:t xml:space="preserve"> that 2,172 </w:t>
      </w:r>
      <w:r w:rsidR="00BD5337" w:rsidRPr="00AA5AA3">
        <w:rPr>
          <w:rFonts w:eastAsia="Arial"/>
          <w:lang w:val="en-US"/>
        </w:rPr>
        <w:lastRenderedPageBreak/>
        <w:t xml:space="preserve">businesses </w:t>
      </w:r>
      <w:r w:rsidR="000F2494" w:rsidRPr="00D913DA">
        <w:rPr>
          <w:rFonts w:eastAsia="Arial"/>
          <w:lang w:val="en-US"/>
        </w:rPr>
        <w:t xml:space="preserve">use their own online ordering facility, </w:t>
      </w:r>
      <w:r w:rsidR="00FA34BF">
        <w:rPr>
          <w:rFonts w:eastAsia="Arial"/>
          <w:lang w:val="en-US"/>
        </w:rPr>
        <w:t>with</w:t>
      </w:r>
      <w:r w:rsidR="000F2494" w:rsidRPr="00D913DA">
        <w:rPr>
          <w:rFonts w:eastAsia="Arial"/>
          <w:lang w:val="en-US"/>
        </w:rPr>
        <w:t xml:space="preserve"> </w:t>
      </w:r>
      <w:r w:rsidR="00FE67A2" w:rsidRPr="00BF5CC4">
        <w:rPr>
          <w:rFonts w:eastAsia="Arial"/>
          <w:lang w:val="en-US"/>
        </w:rPr>
        <w:t xml:space="preserve">608 </w:t>
      </w:r>
      <w:r w:rsidR="00945B57">
        <w:rPr>
          <w:rFonts w:eastAsia="Arial"/>
          <w:lang w:val="en-US"/>
        </w:rPr>
        <w:t xml:space="preserve">reporting that they </w:t>
      </w:r>
      <w:r w:rsidR="00FE67A2" w:rsidRPr="00BF5CC4">
        <w:rPr>
          <w:rFonts w:eastAsia="Arial"/>
          <w:lang w:val="en-US"/>
        </w:rPr>
        <w:t>already display a rating, leaving 1,564 businesses with the task of upda</w:t>
      </w:r>
      <w:r w:rsidR="00FE67A2" w:rsidRPr="00625C0E">
        <w:rPr>
          <w:rFonts w:eastAsia="Arial"/>
          <w:lang w:val="en-US"/>
        </w:rPr>
        <w:t>ting their websites</w:t>
      </w:r>
      <w:r w:rsidR="00B9538D" w:rsidRPr="00235026">
        <w:rPr>
          <w:rFonts w:eastAsia="Arial"/>
          <w:lang w:val="en-US"/>
        </w:rPr>
        <w:t>.</w:t>
      </w:r>
      <w:r w:rsidR="00437674">
        <w:rPr>
          <w:rFonts w:eastAsia="Arial"/>
          <w:lang w:val="en-US"/>
        </w:rPr>
        <w:t xml:space="preserve"> </w:t>
      </w:r>
      <w:r w:rsidR="000C3ACF" w:rsidRPr="007A651D">
        <w:rPr>
          <w:rFonts w:eastAsia="Arial"/>
          <w:lang w:val="en-US"/>
        </w:rPr>
        <w:t>This</w:t>
      </w:r>
      <w:r w:rsidR="000F1793" w:rsidRPr="007A651D">
        <w:rPr>
          <w:rFonts w:eastAsia="Arial"/>
          <w:lang w:val="en-US"/>
        </w:rPr>
        <w:t xml:space="preserve"> classification of already displaying a rating does not </w:t>
      </w:r>
      <w:r w:rsidR="0057799B" w:rsidRPr="007A651D">
        <w:rPr>
          <w:rFonts w:eastAsia="Arial"/>
          <w:lang w:val="en-US"/>
        </w:rPr>
        <w:t xml:space="preserve">necessarily </w:t>
      </w:r>
      <w:r w:rsidR="00CF4B9F" w:rsidRPr="007A651D">
        <w:rPr>
          <w:rFonts w:eastAsia="Arial"/>
          <w:lang w:val="en-US"/>
        </w:rPr>
        <w:t xml:space="preserve">indicate that the location and manner of </w:t>
      </w:r>
      <w:r w:rsidR="006946F3" w:rsidRPr="007A651D">
        <w:rPr>
          <w:rFonts w:eastAsia="Arial"/>
          <w:lang w:val="en-US"/>
        </w:rPr>
        <w:t xml:space="preserve">display </w:t>
      </w:r>
      <w:r w:rsidR="001D2E20" w:rsidRPr="007A651D">
        <w:rPr>
          <w:rFonts w:eastAsia="Arial"/>
          <w:lang w:val="en-US"/>
        </w:rPr>
        <w:t>of that rating</w:t>
      </w:r>
      <w:r w:rsidR="00240E2C" w:rsidRPr="007A651D">
        <w:rPr>
          <w:rFonts w:eastAsia="Arial"/>
          <w:lang w:val="en-US"/>
        </w:rPr>
        <w:t xml:space="preserve"> </w:t>
      </w:r>
      <w:r w:rsidR="00AF4274" w:rsidRPr="007A651D">
        <w:rPr>
          <w:rFonts w:eastAsia="Arial"/>
          <w:lang w:val="en-US"/>
        </w:rPr>
        <w:t>is</w:t>
      </w:r>
      <w:r w:rsidR="006946F3" w:rsidRPr="007A651D">
        <w:rPr>
          <w:rFonts w:eastAsia="Arial"/>
          <w:lang w:val="en-US"/>
        </w:rPr>
        <w:t xml:space="preserve"> in-line with the proposed regulations</w:t>
      </w:r>
      <w:r w:rsidR="006B7DE8" w:rsidRPr="007A651D">
        <w:rPr>
          <w:rFonts w:eastAsia="Arial"/>
          <w:lang w:val="en-US"/>
        </w:rPr>
        <w:t>. However,</w:t>
      </w:r>
      <w:r w:rsidR="0087217C" w:rsidRPr="007A651D">
        <w:rPr>
          <w:rFonts w:eastAsia="Arial"/>
          <w:lang w:val="en-US"/>
        </w:rPr>
        <w:t xml:space="preserve"> this</w:t>
      </w:r>
      <w:r w:rsidR="009A6A77" w:rsidRPr="007A651D">
        <w:rPr>
          <w:rFonts w:eastAsia="Arial"/>
          <w:lang w:val="en-US"/>
        </w:rPr>
        <w:t xml:space="preserve"> was the only available figure</w:t>
      </w:r>
      <w:r w:rsidR="00B748D2" w:rsidRPr="007A651D">
        <w:rPr>
          <w:rFonts w:eastAsia="Arial"/>
          <w:lang w:val="en-US"/>
        </w:rPr>
        <w:t xml:space="preserve"> that could account for some businesses</w:t>
      </w:r>
      <w:r w:rsidR="00462520" w:rsidRPr="007A651D">
        <w:rPr>
          <w:rFonts w:eastAsia="Arial"/>
          <w:lang w:val="en-US"/>
        </w:rPr>
        <w:t xml:space="preserve"> already</w:t>
      </w:r>
      <w:r w:rsidR="00B748D2" w:rsidRPr="007A651D">
        <w:rPr>
          <w:rFonts w:eastAsia="Arial"/>
          <w:lang w:val="en-US"/>
        </w:rPr>
        <w:t xml:space="preserve"> </w:t>
      </w:r>
      <w:r w:rsidR="00A27F94" w:rsidRPr="007A651D">
        <w:rPr>
          <w:rFonts w:eastAsia="Arial"/>
          <w:lang w:val="en-US"/>
        </w:rPr>
        <w:t>voluntarily</w:t>
      </w:r>
      <w:r w:rsidR="00BE3D36" w:rsidRPr="007A651D">
        <w:rPr>
          <w:rFonts w:eastAsia="Arial"/>
          <w:lang w:val="en-US"/>
        </w:rPr>
        <w:t xml:space="preserve"> displaying online</w:t>
      </w:r>
      <w:r w:rsidR="00462520" w:rsidRPr="007A651D">
        <w:rPr>
          <w:rFonts w:eastAsia="Arial"/>
          <w:lang w:val="en-US"/>
        </w:rPr>
        <w:t xml:space="preserve"> and not incurring update costs.</w:t>
      </w:r>
      <w:r w:rsidR="00B9538D" w:rsidRPr="00235026">
        <w:rPr>
          <w:rFonts w:eastAsia="Arial"/>
          <w:lang w:val="en-US"/>
        </w:rPr>
        <w:t xml:space="preserve"> Separate analysis undertaken by FSA analysts</w:t>
      </w:r>
      <w:r w:rsidR="00773544">
        <w:rPr>
          <w:rStyle w:val="FootnoteReference"/>
          <w:rFonts w:eastAsia="Arial"/>
          <w:lang w:val="en-US"/>
        </w:rPr>
        <w:footnoteReference w:id="22"/>
      </w:r>
      <w:r w:rsidR="00B9538D" w:rsidRPr="00D40B6A">
        <w:rPr>
          <w:rFonts w:eastAsia="Arial"/>
          <w:lang w:val="en-US"/>
        </w:rPr>
        <w:t xml:space="preserve"> took a</w:t>
      </w:r>
      <w:r w:rsidR="008724A0" w:rsidRPr="00AF52B0">
        <w:rPr>
          <w:rFonts w:eastAsia="Arial"/>
          <w:lang w:val="en-US"/>
        </w:rPr>
        <w:t xml:space="preserve"> non-randomised</w:t>
      </w:r>
      <w:r w:rsidR="00B9538D" w:rsidRPr="00AF52B0">
        <w:rPr>
          <w:rFonts w:eastAsia="Arial"/>
          <w:lang w:val="en-US"/>
        </w:rPr>
        <w:t xml:space="preserve"> sample of 647 </w:t>
      </w:r>
      <w:r w:rsidR="00773544" w:rsidRPr="00AF52B0">
        <w:rPr>
          <w:rFonts w:eastAsia="Arial"/>
          <w:lang w:val="en-US"/>
        </w:rPr>
        <w:t>businesses</w:t>
      </w:r>
      <w:r w:rsidR="00854712" w:rsidRPr="00A27D01">
        <w:rPr>
          <w:rFonts w:eastAsia="Arial"/>
          <w:lang w:val="en-US"/>
        </w:rPr>
        <w:t xml:space="preserve"> across all 11 </w:t>
      </w:r>
      <w:r w:rsidR="003C29E7">
        <w:rPr>
          <w:rFonts w:eastAsia="Arial"/>
          <w:lang w:val="en-US"/>
        </w:rPr>
        <w:t>d</w:t>
      </w:r>
      <w:r w:rsidR="00854712" w:rsidRPr="00A27D01">
        <w:rPr>
          <w:rFonts w:eastAsia="Arial"/>
          <w:lang w:val="en-US"/>
        </w:rPr>
        <w:t xml:space="preserve">istrict </w:t>
      </w:r>
      <w:r w:rsidR="003C29E7">
        <w:rPr>
          <w:rFonts w:eastAsia="Arial"/>
          <w:lang w:val="en-US"/>
        </w:rPr>
        <w:t>c</w:t>
      </w:r>
      <w:r w:rsidR="00854712" w:rsidRPr="00A27D01">
        <w:rPr>
          <w:rFonts w:eastAsia="Arial"/>
          <w:lang w:val="en-US"/>
        </w:rPr>
        <w:t>ouncils</w:t>
      </w:r>
      <w:r w:rsidR="009E2D62" w:rsidRPr="004F6CF0">
        <w:rPr>
          <w:rFonts w:eastAsia="Arial"/>
          <w:lang w:val="en-US"/>
        </w:rPr>
        <w:t xml:space="preserve"> from the in-scope categories</w:t>
      </w:r>
      <w:r w:rsidR="00854712" w:rsidRPr="004F6CF0">
        <w:rPr>
          <w:rFonts w:eastAsia="Arial"/>
          <w:lang w:val="en-US"/>
        </w:rPr>
        <w:t>,</w:t>
      </w:r>
      <w:r w:rsidR="00773544" w:rsidRPr="00E1766D">
        <w:rPr>
          <w:rFonts w:eastAsia="Arial"/>
          <w:lang w:val="en-US"/>
        </w:rPr>
        <w:t xml:space="preserve"> and</w:t>
      </w:r>
      <w:r w:rsidR="00854712" w:rsidRPr="00E1766D">
        <w:rPr>
          <w:rFonts w:eastAsia="Arial"/>
          <w:lang w:val="en-US"/>
        </w:rPr>
        <w:t xml:space="preserve"> recorded various characteristics of their ordering facilities</w:t>
      </w:r>
      <w:r w:rsidR="00A26546" w:rsidRPr="00EB3DB5">
        <w:rPr>
          <w:rFonts w:eastAsia="Arial"/>
          <w:lang w:val="en-US"/>
        </w:rPr>
        <w:t>, including whether an independent website and/or an aggregator</w:t>
      </w:r>
      <w:r w:rsidR="004F145F" w:rsidRPr="00EB3DB5">
        <w:rPr>
          <w:rFonts w:eastAsia="Arial"/>
          <w:lang w:val="en-US"/>
        </w:rPr>
        <w:t>, and/or social media</w:t>
      </w:r>
      <w:r w:rsidR="00A26546" w:rsidRPr="00A90B3E">
        <w:rPr>
          <w:rFonts w:eastAsia="Arial"/>
          <w:lang w:val="en-US"/>
        </w:rPr>
        <w:t xml:space="preserve"> w</w:t>
      </w:r>
      <w:r w:rsidR="004F145F" w:rsidRPr="00AA5AA3">
        <w:rPr>
          <w:rFonts w:eastAsia="Arial"/>
          <w:lang w:val="en-US"/>
        </w:rPr>
        <w:t>ere</w:t>
      </w:r>
      <w:r w:rsidR="00A26546" w:rsidRPr="00AA5AA3">
        <w:rPr>
          <w:rFonts w:eastAsia="Arial"/>
          <w:lang w:val="en-US"/>
        </w:rPr>
        <w:t xml:space="preserve"> used.</w:t>
      </w:r>
      <w:r w:rsidR="00A26546" w:rsidRPr="00D913DA">
        <w:rPr>
          <w:rFonts w:eastAsia="Arial"/>
          <w:lang w:val="en-US"/>
        </w:rPr>
        <w:t xml:space="preserve"> This analysis found that </w:t>
      </w:r>
      <w:r w:rsidR="0009722C" w:rsidRPr="00BF5CC4">
        <w:rPr>
          <w:rFonts w:eastAsia="Arial"/>
          <w:lang w:val="en-US"/>
        </w:rPr>
        <w:t>18% of the sample us</w:t>
      </w:r>
      <w:r w:rsidR="000167C2" w:rsidRPr="00625C0E">
        <w:rPr>
          <w:rFonts w:eastAsia="Arial"/>
          <w:lang w:val="en-US"/>
        </w:rPr>
        <w:t>ed social media</w:t>
      </w:r>
      <w:r w:rsidR="000167C2" w:rsidRPr="00235026">
        <w:rPr>
          <w:rFonts w:eastAsia="Arial"/>
          <w:lang w:val="en-US"/>
        </w:rPr>
        <w:t xml:space="preserve"> to process orders</w:t>
      </w:r>
      <w:r w:rsidR="00422FF6" w:rsidRPr="00DF2B78">
        <w:rPr>
          <w:rFonts w:eastAsia="Arial"/>
          <w:lang w:val="en-US"/>
        </w:rPr>
        <w:t>,</w:t>
      </w:r>
      <w:r w:rsidR="004F145F" w:rsidRPr="00406A55">
        <w:rPr>
          <w:rFonts w:eastAsia="Arial"/>
          <w:lang w:val="en-US"/>
        </w:rPr>
        <w:t xml:space="preserve"> and this per</w:t>
      </w:r>
      <w:r w:rsidR="004F145F" w:rsidRPr="004161D7">
        <w:rPr>
          <w:rFonts w:eastAsia="Arial"/>
          <w:lang w:val="en-US"/>
        </w:rPr>
        <w:t xml:space="preserve">centage was applied to the 1,564 businesses </w:t>
      </w:r>
      <w:r w:rsidR="00516B5A" w:rsidRPr="006B6EC9">
        <w:rPr>
          <w:rFonts w:eastAsia="Arial"/>
          <w:lang w:val="en-US"/>
        </w:rPr>
        <w:t>to allocate 280 businesses to the £0 band associated with social media ordering, and all remaining businesses (1,284)</w:t>
      </w:r>
      <w:r w:rsidR="005D6689" w:rsidRPr="006B6EC9">
        <w:rPr>
          <w:rFonts w:eastAsia="Arial"/>
          <w:lang w:val="en-US"/>
        </w:rPr>
        <w:t xml:space="preserve"> to the £250 band</w:t>
      </w:r>
      <w:r w:rsidR="00303256" w:rsidRPr="001B04D6">
        <w:rPr>
          <w:rFonts w:eastAsia="Arial"/>
          <w:lang w:val="en-US"/>
        </w:rPr>
        <w:t xml:space="preserve"> relating to independent websites</w:t>
      </w:r>
      <w:r w:rsidR="005D6689" w:rsidRPr="00F46A30">
        <w:rPr>
          <w:rFonts w:eastAsia="Arial"/>
          <w:lang w:val="en-US"/>
        </w:rPr>
        <w:t>.</w:t>
      </w:r>
      <w:r w:rsidR="00FD6623" w:rsidRPr="003E11FA">
        <w:rPr>
          <w:rFonts w:eastAsia="Arial"/>
          <w:lang w:val="en-US"/>
        </w:rPr>
        <w:t xml:space="preserve"> </w:t>
      </w:r>
      <w:r w:rsidR="00FD6623" w:rsidRPr="00DC485F">
        <w:rPr>
          <w:rFonts w:eastAsia="Arial"/>
          <w:lang w:val="en-US"/>
        </w:rPr>
        <w:t>One potential caveat of this approach is that</w:t>
      </w:r>
      <w:r w:rsidR="00F27177" w:rsidRPr="00C00444">
        <w:rPr>
          <w:rFonts w:eastAsia="Arial"/>
          <w:lang w:val="en-US"/>
        </w:rPr>
        <w:t xml:space="preserve"> businesses within these in-scope</w:t>
      </w:r>
      <w:r w:rsidR="00FD6623" w:rsidRPr="0014314A">
        <w:rPr>
          <w:rFonts w:eastAsia="Arial"/>
          <w:lang w:val="en-US"/>
        </w:rPr>
        <w:t xml:space="preserve"> categories could be systematically more likely to have an online or social media </w:t>
      </w:r>
      <w:r w:rsidR="00FD6623" w:rsidRPr="00B109D4">
        <w:rPr>
          <w:rFonts w:eastAsia="Arial"/>
          <w:lang w:val="en-US"/>
        </w:rPr>
        <w:t>ordering facility, making this percentage an overestimate</w:t>
      </w:r>
      <w:r w:rsidR="00BC6723" w:rsidRPr="00B109D4">
        <w:rPr>
          <w:rFonts w:eastAsia="Arial"/>
          <w:lang w:val="en-US"/>
        </w:rPr>
        <w:t xml:space="preserve"> in relation to the broader Northern Ireland business population</w:t>
      </w:r>
      <w:r w:rsidR="00FD6623" w:rsidRPr="00B109D4">
        <w:rPr>
          <w:rFonts w:eastAsia="Arial"/>
          <w:lang w:val="en-US"/>
        </w:rPr>
        <w:t>.</w:t>
      </w:r>
      <w:r w:rsidR="006827B1" w:rsidRPr="00B109D4">
        <w:rPr>
          <w:rFonts w:eastAsia="Arial"/>
          <w:lang w:val="en-US"/>
        </w:rPr>
        <w:t xml:space="preserve"> However, the categories deemed in scope for this impact assessment broadly mirror the BMG report</w:t>
      </w:r>
      <w:r w:rsidR="002B3996">
        <w:rPr>
          <w:rFonts w:eastAsia="Arial"/>
          <w:lang w:val="en-US"/>
        </w:rPr>
        <w:t xml:space="preserve"> (2019)</w:t>
      </w:r>
      <w:r w:rsidR="00BB2407" w:rsidRPr="00B109D4">
        <w:rPr>
          <w:rFonts w:eastAsia="Arial"/>
          <w:lang w:val="en-US"/>
        </w:rPr>
        <w:t xml:space="preserve"> </w:t>
      </w:r>
      <w:r w:rsidR="00243F37" w:rsidRPr="00B109D4">
        <w:rPr>
          <w:rFonts w:eastAsia="Arial"/>
          <w:lang w:val="en-US"/>
        </w:rPr>
        <w:t>from</w:t>
      </w:r>
      <w:r w:rsidR="00BB2407" w:rsidRPr="00B109D4">
        <w:rPr>
          <w:rFonts w:eastAsia="Arial"/>
          <w:lang w:val="en-US"/>
        </w:rPr>
        <w:t xml:space="preserve"> which</w:t>
      </w:r>
      <w:r w:rsidR="009B0FAB" w:rsidRPr="00B109D4">
        <w:rPr>
          <w:rFonts w:eastAsia="Arial"/>
          <w:lang w:val="en-US"/>
        </w:rPr>
        <w:t xml:space="preserve"> </w:t>
      </w:r>
      <w:r w:rsidR="00A121FF" w:rsidRPr="00B109D4">
        <w:rPr>
          <w:rFonts w:eastAsia="Arial"/>
          <w:lang w:val="en-US"/>
        </w:rPr>
        <w:t xml:space="preserve">online presence figures </w:t>
      </w:r>
      <w:r w:rsidR="00391A99" w:rsidRPr="00B109D4">
        <w:rPr>
          <w:rFonts w:eastAsia="Arial"/>
          <w:lang w:val="en-US"/>
        </w:rPr>
        <w:t>used in this analysis have been</w:t>
      </w:r>
      <w:r w:rsidR="009B081C" w:rsidRPr="00B109D4">
        <w:rPr>
          <w:rFonts w:eastAsia="Arial"/>
          <w:lang w:val="en-US"/>
        </w:rPr>
        <w:t xml:space="preserve"> utilised</w:t>
      </w:r>
      <w:r w:rsidR="00CE7997" w:rsidRPr="00B109D4">
        <w:rPr>
          <w:rFonts w:eastAsia="Arial"/>
          <w:lang w:val="en-US"/>
        </w:rPr>
        <w:t>, providing consistency.</w:t>
      </w:r>
      <w:r w:rsidR="00FD6623" w:rsidRPr="00B109D4">
        <w:rPr>
          <w:rFonts w:eastAsia="Arial"/>
          <w:lang w:val="en-US"/>
        </w:rPr>
        <w:t xml:space="preserve"> </w:t>
      </w:r>
      <w:r w:rsidR="00450FEE" w:rsidRPr="00B109D4">
        <w:rPr>
          <w:rFonts w:eastAsia="Arial"/>
          <w:lang w:val="en-US"/>
        </w:rPr>
        <w:t xml:space="preserve"> </w:t>
      </w:r>
      <w:r w:rsidR="009C3063" w:rsidRPr="00B109D4">
        <w:rPr>
          <w:rFonts w:eastAsia="Arial"/>
          <w:lang w:val="en-US"/>
        </w:rPr>
        <w:br/>
      </w:r>
    </w:p>
    <w:p w14:paraId="1EB947EA" w14:textId="394B464A" w:rsidR="000F4368" w:rsidRDefault="005D6689" w:rsidP="006A0631">
      <w:pPr>
        <w:pStyle w:val="ListParagraph"/>
        <w:numPr>
          <w:ilvl w:val="0"/>
          <w:numId w:val="7"/>
        </w:numPr>
        <w:rPr>
          <w:rFonts w:eastAsia="Arial"/>
          <w:lang w:val="en-US"/>
        </w:rPr>
      </w:pPr>
      <w:r w:rsidRPr="1C382D43">
        <w:rPr>
          <w:rFonts w:eastAsia="Arial"/>
          <w:lang w:val="en-US"/>
        </w:rPr>
        <w:t xml:space="preserve">This same analysis identified </w:t>
      </w:r>
      <w:r w:rsidR="009E2D62" w:rsidRPr="1C382D43">
        <w:rPr>
          <w:rFonts w:eastAsia="Arial"/>
          <w:lang w:val="en-US"/>
        </w:rPr>
        <w:t xml:space="preserve">20 distinct aggregators in use across </w:t>
      </w:r>
      <w:r w:rsidR="00CE4CA6" w:rsidRPr="1C382D43">
        <w:rPr>
          <w:rFonts w:eastAsia="Arial"/>
          <w:lang w:val="en-US"/>
        </w:rPr>
        <w:t xml:space="preserve">the sample, and this figure was upscaled to </w:t>
      </w:r>
      <w:r w:rsidR="0098375B" w:rsidRPr="1C382D43">
        <w:rPr>
          <w:rFonts w:eastAsia="Arial"/>
          <w:lang w:val="en-US"/>
        </w:rPr>
        <w:t xml:space="preserve">67 aggregators </w:t>
      </w:r>
      <w:r w:rsidR="00B76EDD" w:rsidRPr="1C382D43">
        <w:rPr>
          <w:rFonts w:eastAsia="Arial"/>
          <w:lang w:val="en-US"/>
        </w:rPr>
        <w:t>when adjusted to represent the 2,172 businesses with online ordering facilities of some kind</w:t>
      </w:r>
      <w:r w:rsidR="00935F0B" w:rsidRPr="1C382D43">
        <w:rPr>
          <w:rFonts w:eastAsia="Arial"/>
          <w:lang w:val="en-US"/>
        </w:rPr>
        <w:t>.</w:t>
      </w:r>
      <w:r w:rsidR="003D176A">
        <w:t xml:space="preserve"> </w:t>
      </w:r>
      <w:r w:rsidR="003D176A" w:rsidRPr="1C382D43">
        <w:rPr>
          <w:rFonts w:eastAsia="Arial"/>
          <w:lang w:val="en-US"/>
        </w:rPr>
        <w:t>There is a risk that the number used is an overestimate, given that the process of upscaling this total from the sample to the broader number of businesses in scope did not completely adjust for several individual businesses using the same aggregator.</w:t>
      </w:r>
      <w:r w:rsidR="006129F0" w:rsidRPr="1C382D43">
        <w:rPr>
          <w:rFonts w:eastAsia="Arial"/>
          <w:lang w:val="en-US"/>
        </w:rPr>
        <w:t xml:space="preserve"> </w:t>
      </w:r>
      <w:r w:rsidR="00935F0B" w:rsidRPr="1C382D43">
        <w:rPr>
          <w:rFonts w:eastAsia="Arial"/>
          <w:lang w:val="en-US"/>
        </w:rPr>
        <w:t xml:space="preserve">Therefore, </w:t>
      </w:r>
      <w:r w:rsidR="00A17C7A" w:rsidRPr="1C382D43">
        <w:rPr>
          <w:rFonts w:eastAsia="Arial"/>
          <w:lang w:val="en-US"/>
        </w:rPr>
        <w:t>multiplying the number of entries in each band by its associated cost, a total one-off cost</w:t>
      </w:r>
      <w:r w:rsidR="00A72772" w:rsidRPr="1C382D43">
        <w:rPr>
          <w:rFonts w:eastAsia="Arial"/>
          <w:lang w:val="en-US"/>
        </w:rPr>
        <w:t xml:space="preserve"> to industry</w:t>
      </w:r>
      <w:r w:rsidR="00A17C7A" w:rsidRPr="1C382D43">
        <w:rPr>
          <w:rFonts w:eastAsia="Arial"/>
          <w:lang w:val="en-US"/>
        </w:rPr>
        <w:t xml:space="preserve"> in the first year of </w:t>
      </w:r>
      <w:r w:rsidR="00A72772" w:rsidRPr="1C382D43">
        <w:rPr>
          <w:rFonts w:eastAsia="Arial"/>
          <w:lang w:val="en-US"/>
        </w:rPr>
        <w:t>£657,000 was estimated</w:t>
      </w:r>
      <w:r w:rsidR="00F63A1D" w:rsidRPr="1C382D43">
        <w:rPr>
          <w:rFonts w:eastAsia="Arial"/>
          <w:lang w:val="en-US"/>
        </w:rPr>
        <w:t>.</w:t>
      </w:r>
      <w:r w:rsidR="00935F0B" w:rsidRPr="1C382D43">
        <w:rPr>
          <w:rFonts w:eastAsia="Arial"/>
          <w:lang w:val="en-US"/>
        </w:rPr>
        <w:t xml:space="preserve"> </w:t>
      </w:r>
      <w:r w:rsidR="00516B5A" w:rsidRPr="1C382D43">
        <w:rPr>
          <w:rFonts w:eastAsia="Arial"/>
          <w:lang w:val="en-US"/>
        </w:rPr>
        <w:t xml:space="preserve"> </w:t>
      </w:r>
    </w:p>
    <w:p w14:paraId="430C2C44" w14:textId="77777777" w:rsidR="000F4368" w:rsidRDefault="000F4368" w:rsidP="000F4368">
      <w:pPr>
        <w:rPr>
          <w:rFonts w:eastAsia="Arial"/>
          <w:lang w:val="en-US"/>
        </w:rPr>
      </w:pPr>
    </w:p>
    <w:tbl>
      <w:tblPr>
        <w:tblStyle w:val="TableGrid"/>
        <w:tblpPr w:leftFromText="180" w:rightFromText="180" w:vertAnchor="text" w:horzAnchor="margin" w:tblpXSpec="right" w:tblpY="315"/>
        <w:tblW w:w="0" w:type="auto"/>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D9D9D9" w:themeFill="background1" w:themeFillShade="D9"/>
        <w:tblCellMar>
          <w:top w:w="113" w:type="dxa"/>
        </w:tblCellMar>
        <w:tblLook w:val="06A0" w:firstRow="1" w:lastRow="0" w:firstColumn="1" w:lastColumn="0" w:noHBand="1" w:noVBand="1"/>
        <w:tblCaption w:val="Table cell"/>
        <w:tblDescription w:val="Added to emphasise the following content in the cell."/>
      </w:tblPr>
      <w:tblGrid>
        <w:gridCol w:w="9917"/>
      </w:tblGrid>
      <w:tr w:rsidR="00A80445" w:rsidRPr="00A80445" w14:paraId="1F8588BB" w14:textId="77777777" w:rsidTr="00A80445">
        <w:trPr>
          <w:trHeight w:val="1392"/>
          <w:tblHeader/>
        </w:trPr>
        <w:tc>
          <w:tcPr>
            <w:tcW w:w="9917" w:type="dxa"/>
            <w:shd w:val="clear" w:color="auto" w:fill="D9D9D9" w:themeFill="background1" w:themeFillShade="D9"/>
            <w:tcMar>
              <w:top w:w="0" w:type="dxa"/>
            </w:tcMar>
          </w:tcPr>
          <w:p w14:paraId="194E2846" w14:textId="77777777" w:rsidR="006E5597" w:rsidRPr="00A80445" w:rsidRDefault="006E5597" w:rsidP="009F45EF">
            <w:pPr>
              <w:pStyle w:val="Colouredboxheadline"/>
              <w:framePr w:hSpace="0" w:wrap="auto" w:vAnchor="margin" w:hAnchor="text" w:yAlign="inline"/>
              <w:spacing w:before="240" w:after="60"/>
              <w:ind w:left="-74"/>
              <w:rPr>
                <w:color w:val="auto"/>
                <w:sz w:val="24"/>
                <w:szCs w:val="24"/>
              </w:rPr>
            </w:pPr>
            <w:r w:rsidRPr="00A80445">
              <w:rPr>
                <w:color w:val="auto"/>
                <w:sz w:val="24"/>
                <w:szCs w:val="24"/>
              </w:rPr>
              <w:t xml:space="preserve">Question </w:t>
            </w:r>
            <w:r w:rsidRPr="00A80445">
              <w:rPr>
                <w:color w:val="auto"/>
                <w:sz w:val="24"/>
                <w:szCs w:val="24"/>
                <w:lang w:val="en-GB"/>
              </w:rPr>
              <w:t>2</w:t>
            </w:r>
            <w:r w:rsidRPr="00A80445">
              <w:rPr>
                <w:color w:val="auto"/>
                <w:sz w:val="24"/>
                <w:szCs w:val="24"/>
              </w:rPr>
              <w:t>:</w:t>
            </w:r>
          </w:p>
          <w:p w14:paraId="666BC976" w14:textId="77777777" w:rsidR="006E5597" w:rsidRPr="00A80445" w:rsidRDefault="006E5597" w:rsidP="009F45EF">
            <w:pPr>
              <w:pStyle w:val="Colouredboxheadline"/>
              <w:framePr w:hSpace="0" w:wrap="auto" w:vAnchor="margin" w:hAnchor="text" w:yAlign="inline"/>
              <w:spacing w:before="240" w:after="60"/>
              <w:ind w:left="-74"/>
              <w:rPr>
                <w:color w:val="auto"/>
                <w:sz w:val="24"/>
                <w:szCs w:val="24"/>
                <w:lang w:val="en-GB"/>
              </w:rPr>
            </w:pPr>
            <w:r w:rsidRPr="00A80445">
              <w:rPr>
                <w:color w:val="auto"/>
                <w:sz w:val="24"/>
                <w:szCs w:val="24"/>
                <w:lang w:val="en-GB"/>
              </w:rPr>
              <w:t>Are the identified groups of online businesses representative of the online food ordering market?</w:t>
            </w:r>
            <w:r w:rsidRPr="00A80445">
              <w:rPr>
                <w:color w:val="auto"/>
                <w:sz w:val="24"/>
                <w:szCs w:val="24"/>
              </w:rPr>
              <w:t xml:space="preserve"> If you partly agree or do not agree please identify other affected groups that should also be considered and provide reasons for your suggestion</w:t>
            </w:r>
            <w:r w:rsidRPr="00A80445">
              <w:rPr>
                <w:color w:val="auto"/>
                <w:sz w:val="24"/>
                <w:szCs w:val="24"/>
                <w:lang w:val="en-GB"/>
              </w:rPr>
              <w:t>.</w:t>
            </w:r>
          </w:p>
          <w:p w14:paraId="501CB15F" w14:textId="77777777" w:rsidR="006E5597" w:rsidRPr="00A80445" w:rsidRDefault="006E5597" w:rsidP="009F45EF">
            <w:pPr>
              <w:pStyle w:val="Colouredboxheadline"/>
              <w:framePr w:hSpace="0" w:wrap="auto" w:vAnchor="margin" w:hAnchor="text" w:yAlign="inline"/>
              <w:spacing w:before="240" w:after="60"/>
              <w:ind w:left="-74"/>
              <w:rPr>
                <w:color w:val="auto"/>
                <w:sz w:val="24"/>
                <w:szCs w:val="24"/>
              </w:rPr>
            </w:pPr>
            <w:r w:rsidRPr="00A80445">
              <w:rPr>
                <w:color w:val="auto"/>
                <w:sz w:val="24"/>
                <w:szCs w:val="24"/>
              </w:rPr>
              <w:t xml:space="preserve">Question </w:t>
            </w:r>
            <w:r w:rsidRPr="00A80445">
              <w:rPr>
                <w:color w:val="auto"/>
                <w:sz w:val="24"/>
                <w:szCs w:val="24"/>
                <w:lang w:val="en-GB"/>
              </w:rPr>
              <w:t>3:</w:t>
            </w:r>
          </w:p>
          <w:p w14:paraId="77CD6CDD" w14:textId="77777777" w:rsidR="006E5597" w:rsidRPr="00A80445" w:rsidRDefault="006E5597" w:rsidP="009F45EF">
            <w:pPr>
              <w:pStyle w:val="Colouredboxheadline"/>
              <w:framePr w:hSpace="0" w:wrap="auto" w:vAnchor="margin" w:hAnchor="text" w:yAlign="inline"/>
              <w:spacing w:before="240" w:after="60"/>
              <w:ind w:left="-74"/>
              <w:rPr>
                <w:color w:val="auto"/>
                <w:sz w:val="24"/>
                <w:szCs w:val="24"/>
                <w:lang w:val="en-GB"/>
              </w:rPr>
            </w:pPr>
            <w:r w:rsidRPr="00A80445">
              <w:rPr>
                <w:color w:val="auto"/>
                <w:sz w:val="24"/>
                <w:szCs w:val="24"/>
                <w:lang w:val="en-GB"/>
              </w:rPr>
              <w:t>Do you agree with the estimated number of identified online food ordering businesses in each group that are operating in Northern Ireland? If you partly agree or do not agree please provide an estimate of the number in the relevant group(s) and provide reasons for your suggestion.</w:t>
            </w:r>
          </w:p>
          <w:p w14:paraId="1ED654F2" w14:textId="77777777" w:rsidR="006E5597" w:rsidRPr="00A80445" w:rsidRDefault="006E5597" w:rsidP="009F45EF">
            <w:pPr>
              <w:pStyle w:val="Colouredboxheadline"/>
              <w:framePr w:hSpace="0" w:wrap="auto" w:vAnchor="margin" w:hAnchor="text" w:yAlign="inline"/>
              <w:spacing w:before="240" w:after="60"/>
              <w:ind w:left="-74"/>
              <w:rPr>
                <w:b/>
                <w:bCs w:val="0"/>
                <w:color w:val="auto"/>
                <w:sz w:val="24"/>
                <w:szCs w:val="24"/>
                <w:lang w:val="en-GB"/>
              </w:rPr>
            </w:pPr>
          </w:p>
        </w:tc>
      </w:tr>
    </w:tbl>
    <w:p w14:paraId="51A26434" w14:textId="77777777" w:rsidR="000F4368" w:rsidRDefault="000F4368" w:rsidP="000F4368">
      <w:pPr>
        <w:rPr>
          <w:rFonts w:eastAsia="Arial"/>
          <w:lang w:val="en-US"/>
        </w:rPr>
      </w:pPr>
    </w:p>
    <w:p w14:paraId="5B202A7D" w14:textId="77777777" w:rsidR="000F4368" w:rsidRDefault="000F4368" w:rsidP="007A690C">
      <w:pPr>
        <w:rPr>
          <w:rFonts w:eastAsia="Calibri"/>
          <w:b/>
          <w:color w:val="000000"/>
        </w:rPr>
      </w:pPr>
    </w:p>
    <w:p w14:paraId="060E9115" w14:textId="4EC0F267" w:rsidR="007A690C" w:rsidRPr="00432758" w:rsidRDefault="007A690C" w:rsidP="00A80445">
      <w:pPr>
        <w:pStyle w:val="Heading3"/>
        <w:rPr>
          <w:rFonts w:eastAsia="Calibri"/>
        </w:rPr>
      </w:pPr>
      <w:r>
        <w:rPr>
          <w:rFonts w:eastAsia="Calibri"/>
        </w:rPr>
        <w:t>Ongoing cost of r</w:t>
      </w:r>
      <w:r w:rsidRPr="00432758">
        <w:rPr>
          <w:rFonts w:eastAsia="Calibri"/>
        </w:rPr>
        <w:t>equest</w:t>
      </w:r>
      <w:r>
        <w:rPr>
          <w:rFonts w:eastAsia="Calibri"/>
        </w:rPr>
        <w:t>s</w:t>
      </w:r>
      <w:r w:rsidRPr="00432758">
        <w:rPr>
          <w:rFonts w:eastAsia="Calibri"/>
        </w:rPr>
        <w:t xml:space="preserve"> for re-rating inspections</w:t>
      </w:r>
    </w:p>
    <w:p w14:paraId="77E0867A" w14:textId="77777777" w:rsidR="007A690C" w:rsidRDefault="007A690C" w:rsidP="007A690C">
      <w:pPr>
        <w:pStyle w:val="ListParagraph"/>
        <w:ind w:left="1071"/>
        <w:rPr>
          <w:rFonts w:eastAsia="Calibri" w:cs="Arial"/>
          <w:lang w:val="en-US"/>
        </w:rPr>
      </w:pPr>
    </w:p>
    <w:p w14:paraId="1E65AA62" w14:textId="7C2B0338" w:rsidR="008173FA" w:rsidRPr="00F44906" w:rsidRDefault="007A690C" w:rsidP="00E10B42">
      <w:pPr>
        <w:pStyle w:val="ListParagraph"/>
        <w:numPr>
          <w:ilvl w:val="0"/>
          <w:numId w:val="7"/>
        </w:numPr>
        <w:rPr>
          <w:rFonts w:eastAsia="Arial"/>
          <w:lang w:val="en-US"/>
        </w:rPr>
      </w:pPr>
      <w:r w:rsidRPr="1C382D43">
        <w:rPr>
          <w:rFonts w:eastAsia="Calibri"/>
          <w:lang w:val="en-US"/>
        </w:rPr>
        <w:t xml:space="preserve">It is anticipated that there will be an increase in the number of requests for re-rating under the new regulations. Based on the 15% assumed increase outlined earlier, and </w:t>
      </w:r>
      <w:r w:rsidRPr="1C382D43">
        <w:rPr>
          <w:rFonts w:eastAsia="Calibri"/>
          <w:lang w:val="en-US"/>
        </w:rPr>
        <w:lastRenderedPageBreak/>
        <w:t xml:space="preserve">the number of requested revisits received by </w:t>
      </w:r>
      <w:r w:rsidR="003C29E7" w:rsidRPr="1C382D43">
        <w:rPr>
          <w:rFonts w:eastAsia="Calibri"/>
          <w:lang w:val="en-US"/>
        </w:rPr>
        <w:t>d</w:t>
      </w:r>
      <w:r w:rsidR="002975DD" w:rsidRPr="1C382D43">
        <w:rPr>
          <w:rFonts w:eastAsia="Calibri"/>
          <w:lang w:val="en-US"/>
        </w:rPr>
        <w:t xml:space="preserve">istrict </w:t>
      </w:r>
      <w:r w:rsidR="003C29E7" w:rsidRPr="1C382D43">
        <w:rPr>
          <w:rFonts w:eastAsia="Calibri"/>
          <w:lang w:val="en-US"/>
        </w:rPr>
        <w:t>c</w:t>
      </w:r>
      <w:r w:rsidR="002975DD" w:rsidRPr="1C382D43">
        <w:rPr>
          <w:rFonts w:eastAsia="Calibri"/>
          <w:lang w:val="en-US"/>
        </w:rPr>
        <w:t>ouncil</w:t>
      </w:r>
      <w:r w:rsidRPr="1C382D43">
        <w:rPr>
          <w:rFonts w:eastAsia="Calibri"/>
          <w:lang w:val="en-US"/>
        </w:rPr>
        <w:t>s between April 2021 and March 2022, is it is estimated that there will be an increase of 4 requests for re-rating inspections in the first year at a cost of £220, based on the assumption of each re-rating application taking 2.2 hours of EHO time. It is assumed that this rate of additional re-rating requests will continue for the first five years of the appraisal period, before tailing off by 50% to result in a 7.5% annual increase for the remaining five years (2 additional re-rating requests per year at an annual cost of £110 to businesses). This generates a total cost across the ten-year appraisal period of £1,600.</w:t>
      </w:r>
      <w:r w:rsidR="00422FF6" w:rsidRPr="1C382D43">
        <w:rPr>
          <w:rFonts w:eastAsia="Arial"/>
          <w:lang w:val="en-US"/>
        </w:rPr>
        <w:t xml:space="preserve"> </w:t>
      </w:r>
      <w:r>
        <w:br/>
      </w:r>
      <w:r w:rsidR="00773544" w:rsidRPr="1C382D43">
        <w:rPr>
          <w:rFonts w:eastAsia="Arial"/>
          <w:lang w:val="en-US"/>
        </w:rPr>
        <w:t xml:space="preserve"> </w:t>
      </w:r>
      <w:r w:rsidR="002B6A5F" w:rsidRPr="1C382D43">
        <w:rPr>
          <w:rFonts w:eastAsia="Arial"/>
          <w:lang w:val="en-US"/>
        </w:rPr>
        <w:t xml:space="preserve"> </w:t>
      </w:r>
    </w:p>
    <w:p w14:paraId="488A709C" w14:textId="4F8AA05A" w:rsidR="008173FA" w:rsidRPr="006B20DE" w:rsidRDefault="008173FA" w:rsidP="00A80445">
      <w:pPr>
        <w:pStyle w:val="Heading2"/>
      </w:pPr>
      <w:r w:rsidRPr="006B20DE">
        <w:t>One</w:t>
      </w:r>
      <w:r w:rsidR="000C3A5F" w:rsidRPr="006B20DE">
        <w:t>-</w:t>
      </w:r>
      <w:r w:rsidRPr="006B20DE">
        <w:t xml:space="preserve">off costs to FSA </w:t>
      </w:r>
    </w:p>
    <w:p w14:paraId="0EF1902A" w14:textId="6D8028A5" w:rsidR="008173FA" w:rsidRPr="006B20DE" w:rsidRDefault="008173FA" w:rsidP="00A80445">
      <w:pPr>
        <w:pStyle w:val="Heading3"/>
        <w:rPr>
          <w:color w:val="000000"/>
        </w:rPr>
      </w:pPr>
      <w:r w:rsidRPr="006B20DE">
        <w:t xml:space="preserve">Increased levels of enquiries </w:t>
      </w:r>
    </w:p>
    <w:p w14:paraId="64345B79" w14:textId="1C60AC87" w:rsidR="008173FA" w:rsidRPr="000E5618" w:rsidRDefault="008173FA" w:rsidP="00E10B42">
      <w:pPr>
        <w:pStyle w:val="ListParagraph"/>
        <w:numPr>
          <w:ilvl w:val="0"/>
          <w:numId w:val="7"/>
        </w:numPr>
        <w:spacing w:before="240" w:after="60"/>
        <w:rPr>
          <w:color w:val="000000"/>
        </w:rPr>
      </w:pPr>
      <w:r w:rsidRPr="1C382D43">
        <w:rPr>
          <w:color w:val="000000" w:themeColor="text1"/>
        </w:rPr>
        <w:t>It is anticipated that the FSA would be required to handle a</w:t>
      </w:r>
      <w:r w:rsidR="00727C05" w:rsidRPr="1C382D43">
        <w:rPr>
          <w:color w:val="000000" w:themeColor="text1"/>
        </w:rPr>
        <w:t xml:space="preserve"> transitor</w:t>
      </w:r>
      <w:r w:rsidR="00FE5F49" w:rsidRPr="1C382D43">
        <w:rPr>
          <w:color w:val="000000" w:themeColor="text1"/>
        </w:rPr>
        <w:t>y</w:t>
      </w:r>
      <w:r w:rsidRPr="1C382D43">
        <w:rPr>
          <w:color w:val="000000" w:themeColor="text1"/>
        </w:rPr>
        <w:t xml:space="preserve"> increase</w:t>
      </w:r>
      <w:r w:rsidR="00397875" w:rsidRPr="1C382D43">
        <w:rPr>
          <w:color w:val="000000" w:themeColor="text1"/>
        </w:rPr>
        <w:t xml:space="preserve"> in the</w:t>
      </w:r>
      <w:r w:rsidRPr="1C382D43">
        <w:rPr>
          <w:color w:val="000000" w:themeColor="text1"/>
        </w:rPr>
        <w:t xml:space="preserve"> level of enquiries </w:t>
      </w:r>
      <w:r w:rsidR="00397875" w:rsidRPr="1C382D43">
        <w:rPr>
          <w:color w:val="000000" w:themeColor="text1"/>
        </w:rPr>
        <w:t>regarding</w:t>
      </w:r>
      <w:r w:rsidRPr="1C382D43">
        <w:rPr>
          <w:color w:val="000000" w:themeColor="text1"/>
        </w:rPr>
        <w:t xml:space="preserve"> the online display provision of the scheme from businesses, consumers and </w:t>
      </w:r>
      <w:r w:rsidR="003C29E7" w:rsidRPr="1C382D43">
        <w:rPr>
          <w:color w:val="000000" w:themeColor="text1"/>
        </w:rPr>
        <w:t>d</w:t>
      </w:r>
      <w:r w:rsidRPr="1C382D43">
        <w:rPr>
          <w:color w:val="000000" w:themeColor="text1"/>
        </w:rPr>
        <w:t xml:space="preserve">istrict </w:t>
      </w:r>
      <w:r w:rsidR="003C29E7" w:rsidRPr="1C382D43">
        <w:rPr>
          <w:color w:val="000000" w:themeColor="text1"/>
        </w:rPr>
        <w:t>c</w:t>
      </w:r>
      <w:r w:rsidRPr="1C382D43">
        <w:rPr>
          <w:color w:val="000000" w:themeColor="text1"/>
        </w:rPr>
        <w:t>ouncils. FSA staff estimates that an additional 25 hours would be required in the first six months. This administrative cost can be monetised by multiplying the hours required by the wage cost of the official handling these enquiries</w:t>
      </w:r>
      <w:r w:rsidR="00727C05" w:rsidRPr="1C382D43">
        <w:rPr>
          <w:color w:val="000000" w:themeColor="text1"/>
        </w:rPr>
        <w:t>,</w:t>
      </w:r>
      <w:r w:rsidRPr="1C382D43">
        <w:rPr>
          <w:color w:val="000000" w:themeColor="text1"/>
        </w:rPr>
        <w:t xml:space="preserve"> which would be a Senior Executive Officer (SEO). The estimated hourly average wage cost of an SEO is £</w:t>
      </w:r>
      <w:r w:rsidR="00F63A1D" w:rsidRPr="1C382D43">
        <w:rPr>
          <w:color w:val="000000" w:themeColor="text1"/>
        </w:rPr>
        <w:t>28.75</w:t>
      </w:r>
      <w:r w:rsidR="002D46AD" w:rsidRPr="1C382D43">
        <w:rPr>
          <w:color w:val="000000" w:themeColor="text1"/>
        </w:rPr>
        <w:t xml:space="preserve"> as of </w:t>
      </w:r>
      <w:r w:rsidR="0006793B" w:rsidRPr="1C382D43">
        <w:rPr>
          <w:color w:val="000000" w:themeColor="text1"/>
        </w:rPr>
        <w:t>2021</w:t>
      </w:r>
      <w:r w:rsidRPr="1C382D43">
        <w:rPr>
          <w:color w:val="000000" w:themeColor="text1"/>
        </w:rPr>
        <w:t>. Multiplying this wage cost with the additional number of hours (25) results in a total one</w:t>
      </w:r>
      <w:r w:rsidR="00727C05" w:rsidRPr="1C382D43">
        <w:rPr>
          <w:color w:val="000000" w:themeColor="text1"/>
        </w:rPr>
        <w:t>-</w:t>
      </w:r>
      <w:r w:rsidRPr="1C382D43">
        <w:rPr>
          <w:color w:val="000000" w:themeColor="text1"/>
        </w:rPr>
        <w:t xml:space="preserve">off cost in year one of the policy of </w:t>
      </w:r>
      <w:r w:rsidR="00727C05" w:rsidRPr="1C382D43">
        <w:rPr>
          <w:color w:val="000000" w:themeColor="text1"/>
        </w:rPr>
        <w:t>£</w:t>
      </w:r>
      <w:r w:rsidR="00C76E9E" w:rsidRPr="1C382D43">
        <w:rPr>
          <w:color w:val="000000" w:themeColor="text1"/>
        </w:rPr>
        <w:t>720</w:t>
      </w:r>
      <w:r w:rsidRPr="1C382D43">
        <w:rPr>
          <w:color w:val="000000" w:themeColor="text1"/>
        </w:rPr>
        <w:t xml:space="preserve">. To help </w:t>
      </w:r>
      <w:r w:rsidR="00C76E9E" w:rsidRPr="1C382D43">
        <w:rPr>
          <w:color w:val="000000" w:themeColor="text1"/>
        </w:rPr>
        <w:t>alleviate</w:t>
      </w:r>
      <w:r w:rsidRPr="1C382D43">
        <w:rPr>
          <w:color w:val="000000" w:themeColor="text1"/>
        </w:rPr>
        <w:t xml:space="preserve"> the additional burden of</w:t>
      </w:r>
      <w:r w:rsidR="00C76E9E" w:rsidRPr="1C382D43">
        <w:rPr>
          <w:color w:val="000000" w:themeColor="text1"/>
        </w:rPr>
        <w:t xml:space="preserve"> this</w:t>
      </w:r>
      <w:r w:rsidRPr="1C382D43">
        <w:rPr>
          <w:color w:val="000000" w:themeColor="text1"/>
        </w:rPr>
        <w:t xml:space="preserve"> increased level of enquires and to assist food businesses</w:t>
      </w:r>
      <w:r w:rsidR="00C76E9E" w:rsidRPr="1C382D43">
        <w:rPr>
          <w:color w:val="000000" w:themeColor="text1"/>
        </w:rPr>
        <w:t>,</w:t>
      </w:r>
      <w:r w:rsidRPr="1C382D43">
        <w:rPr>
          <w:color w:val="000000" w:themeColor="text1"/>
        </w:rPr>
        <w:t xml:space="preserve"> an FSA Q&amp;A will be developed to answer anticipated queries.</w:t>
      </w:r>
    </w:p>
    <w:p w14:paraId="47A614FC" w14:textId="77777777" w:rsidR="008173FA" w:rsidRPr="006B20DE" w:rsidRDefault="008173FA" w:rsidP="00A80445">
      <w:pPr>
        <w:pStyle w:val="Heading3"/>
      </w:pPr>
      <w:r w:rsidRPr="006B20DE">
        <w:t xml:space="preserve">Marketing and promotion of the scheme </w:t>
      </w:r>
    </w:p>
    <w:p w14:paraId="497FF431" w14:textId="1E9866F9" w:rsidR="008173FA" w:rsidRDefault="008173FA" w:rsidP="00E10B42">
      <w:pPr>
        <w:pStyle w:val="ListParagraph"/>
        <w:keepLines/>
        <w:numPr>
          <w:ilvl w:val="0"/>
          <w:numId w:val="7"/>
        </w:numPr>
        <w:spacing w:before="240" w:after="60"/>
        <w:rPr>
          <w:rFonts w:eastAsia="Arial"/>
          <w:lang w:val="en-US"/>
        </w:rPr>
      </w:pPr>
      <w:r w:rsidRPr="1C382D43">
        <w:rPr>
          <w:rFonts w:eastAsia="Arial"/>
          <w:lang w:val="en-US"/>
        </w:rPr>
        <w:t xml:space="preserve">There would be a one-off cost </w:t>
      </w:r>
      <w:r w:rsidR="00835331" w:rsidRPr="1C382D43">
        <w:rPr>
          <w:rFonts w:eastAsia="Arial"/>
          <w:lang w:val="en-US"/>
        </w:rPr>
        <w:t>to the FSA</w:t>
      </w:r>
      <w:r w:rsidRPr="1C382D43">
        <w:rPr>
          <w:rFonts w:eastAsia="Arial"/>
          <w:lang w:val="en-US"/>
        </w:rPr>
        <w:t xml:space="preserve"> for</w:t>
      </w:r>
      <w:r w:rsidR="001316E2" w:rsidRPr="1C382D43">
        <w:rPr>
          <w:rFonts w:eastAsia="Arial"/>
          <w:lang w:val="en-US"/>
        </w:rPr>
        <w:t xml:space="preserve"> a</w:t>
      </w:r>
      <w:r w:rsidRPr="1C382D43">
        <w:rPr>
          <w:rFonts w:eastAsia="Arial"/>
          <w:lang w:val="en-US"/>
        </w:rPr>
        <w:t xml:space="preserve"> digital campaign to be carried out within eight weeks prior to the introduction of the regulations, to raise awareness of the changes amongst businesses and </w:t>
      </w:r>
      <w:r w:rsidR="003C29E7" w:rsidRPr="1C382D43">
        <w:rPr>
          <w:rFonts w:eastAsia="Arial"/>
          <w:lang w:val="en-US"/>
        </w:rPr>
        <w:t>d</w:t>
      </w:r>
      <w:r w:rsidR="002975DD" w:rsidRPr="1C382D43">
        <w:rPr>
          <w:rFonts w:eastAsia="Arial"/>
          <w:lang w:val="en-US"/>
        </w:rPr>
        <w:t xml:space="preserve">istrict </w:t>
      </w:r>
      <w:r w:rsidR="003C29E7" w:rsidRPr="1C382D43">
        <w:rPr>
          <w:rFonts w:eastAsia="Arial"/>
          <w:lang w:val="en-US"/>
        </w:rPr>
        <w:t>c</w:t>
      </w:r>
      <w:r w:rsidR="002975DD" w:rsidRPr="1C382D43">
        <w:rPr>
          <w:rFonts w:eastAsia="Arial"/>
          <w:lang w:val="en-US"/>
        </w:rPr>
        <w:t>ouncil</w:t>
      </w:r>
      <w:r w:rsidRPr="1C382D43">
        <w:rPr>
          <w:rFonts w:eastAsia="Arial"/>
          <w:lang w:val="en-US"/>
        </w:rPr>
        <w:t>s. Media activity will be planned to mark the introduction of the proposed online display requirement.</w:t>
      </w:r>
      <w:r w:rsidR="001316E2" w:rsidRPr="1C382D43">
        <w:rPr>
          <w:rFonts w:eastAsia="Arial"/>
          <w:lang w:val="en-US"/>
        </w:rPr>
        <w:t xml:space="preserve"> </w:t>
      </w:r>
      <w:r w:rsidRPr="1C382D43">
        <w:rPr>
          <w:rFonts w:eastAsia="Arial"/>
          <w:lang w:val="en-US"/>
        </w:rPr>
        <w:t>These costs would include all costs associated with the development of a digital marketing campaign, including social media assets, digital advertisements, promoted and targeted social media content, promotion in online and trade publications and advertisement spend. It is estimated that this wo</w:t>
      </w:r>
      <w:r w:rsidR="009F163D" w:rsidRPr="1C382D43">
        <w:rPr>
          <w:rFonts w:eastAsia="Arial"/>
          <w:lang w:val="en-US"/>
        </w:rPr>
        <w:t>uld be</w:t>
      </w:r>
      <w:r w:rsidRPr="1C382D43">
        <w:rPr>
          <w:rFonts w:eastAsia="Arial"/>
          <w:lang w:val="en-US"/>
        </w:rPr>
        <w:t xml:space="preserve"> a one-off cost of approximately £</w:t>
      </w:r>
      <w:r w:rsidR="009F163D" w:rsidRPr="1C382D43">
        <w:rPr>
          <w:rFonts w:eastAsia="Arial"/>
          <w:lang w:val="en-US"/>
        </w:rPr>
        <w:t>20,000</w:t>
      </w:r>
      <w:r w:rsidRPr="1C382D43">
        <w:rPr>
          <w:rFonts w:eastAsia="Arial"/>
          <w:lang w:val="en-US"/>
        </w:rPr>
        <w:t xml:space="preserve"> in the year of introduction of the proposed regulations. It is not expected that ongoing promotion of the online display requirement will result in any additional costs to the ‘</w:t>
      </w:r>
      <w:r w:rsidR="000058AD" w:rsidRPr="1C382D43">
        <w:rPr>
          <w:rFonts w:eastAsia="Arial"/>
          <w:lang w:val="en-US"/>
        </w:rPr>
        <w:t>B</w:t>
      </w:r>
      <w:r w:rsidRPr="1C382D43">
        <w:rPr>
          <w:rFonts w:eastAsia="Arial"/>
          <w:lang w:val="en-US"/>
        </w:rPr>
        <w:t xml:space="preserve">usiness </w:t>
      </w:r>
      <w:r w:rsidR="000058AD" w:rsidRPr="1C382D43">
        <w:rPr>
          <w:rFonts w:eastAsia="Arial"/>
          <w:lang w:val="en-US"/>
        </w:rPr>
        <w:t>A</w:t>
      </w:r>
      <w:r w:rsidRPr="1C382D43">
        <w:rPr>
          <w:rFonts w:eastAsia="Arial"/>
          <w:lang w:val="en-US"/>
        </w:rPr>
        <w:t xml:space="preserve">s </w:t>
      </w:r>
      <w:r w:rsidR="000058AD" w:rsidRPr="1C382D43">
        <w:rPr>
          <w:rFonts w:eastAsia="Arial"/>
          <w:lang w:val="en-US"/>
        </w:rPr>
        <w:t>U</w:t>
      </w:r>
      <w:r w:rsidRPr="1C382D43">
        <w:rPr>
          <w:rFonts w:eastAsia="Arial"/>
          <w:lang w:val="en-US"/>
        </w:rPr>
        <w:t>sual’ promotion of the current statutory Scheme</w:t>
      </w:r>
      <w:r w:rsidR="009F163D" w:rsidRPr="1C382D43">
        <w:rPr>
          <w:rFonts w:eastAsia="Arial"/>
          <w:lang w:val="en-US"/>
        </w:rPr>
        <w:t xml:space="preserve">, and as such </w:t>
      </w:r>
      <w:r w:rsidR="009932D8" w:rsidRPr="1C382D43">
        <w:rPr>
          <w:rFonts w:eastAsia="Arial"/>
          <w:lang w:val="en-US"/>
        </w:rPr>
        <w:t>the costs from year two onwards</w:t>
      </w:r>
      <w:r w:rsidR="001679B6" w:rsidRPr="1C382D43">
        <w:rPr>
          <w:rFonts w:eastAsia="Arial"/>
          <w:lang w:val="en-US"/>
        </w:rPr>
        <w:t xml:space="preserve"> form part of existing budgets and</w:t>
      </w:r>
      <w:r w:rsidR="009932D8" w:rsidRPr="1C382D43">
        <w:rPr>
          <w:rFonts w:eastAsia="Arial"/>
          <w:lang w:val="en-US"/>
        </w:rPr>
        <w:t xml:space="preserve"> are zero for the purpose of</w:t>
      </w:r>
      <w:r w:rsidR="00493BE6" w:rsidRPr="1C382D43">
        <w:rPr>
          <w:rFonts w:eastAsia="Arial"/>
          <w:lang w:val="en-US"/>
        </w:rPr>
        <w:t xml:space="preserve"> identifying additional costs linked to this legislation in particular for</w:t>
      </w:r>
      <w:r w:rsidR="009932D8" w:rsidRPr="1C382D43">
        <w:rPr>
          <w:rFonts w:eastAsia="Arial"/>
          <w:lang w:val="en-US"/>
        </w:rPr>
        <w:t xml:space="preserve"> this impact assessment</w:t>
      </w:r>
      <w:r w:rsidRPr="1C382D43">
        <w:rPr>
          <w:rFonts w:eastAsia="Arial"/>
          <w:lang w:val="en-US"/>
        </w:rPr>
        <w:t>.</w:t>
      </w:r>
    </w:p>
    <w:p w14:paraId="4CC7E42D" w14:textId="77777777" w:rsidR="008173FA" w:rsidRPr="006B20DE" w:rsidRDefault="008173FA" w:rsidP="00A80445">
      <w:pPr>
        <w:pStyle w:val="Heading2"/>
        <w:rPr>
          <w:rFonts w:eastAsia="Arial"/>
          <w:lang w:val="en-US"/>
        </w:rPr>
      </w:pPr>
      <w:r w:rsidRPr="006B20DE">
        <w:t>Benefits to business</w:t>
      </w:r>
    </w:p>
    <w:p w14:paraId="522D9D6D" w14:textId="77777777" w:rsidR="008173FA" w:rsidRPr="006B20DE" w:rsidRDefault="008173FA" w:rsidP="00A80445">
      <w:pPr>
        <w:pStyle w:val="Heading3"/>
      </w:pPr>
      <w:r w:rsidRPr="006B20DE">
        <w:t>Long-term benefit of reduced burden of enforcement</w:t>
      </w:r>
    </w:p>
    <w:p w14:paraId="3AFD4F24" w14:textId="539058F9" w:rsidR="008173FA" w:rsidRPr="001A04E4" w:rsidRDefault="008173FA" w:rsidP="00E10B42">
      <w:pPr>
        <w:pStyle w:val="ListParagraph"/>
        <w:keepNext/>
        <w:numPr>
          <w:ilvl w:val="0"/>
          <w:numId w:val="7"/>
        </w:numPr>
        <w:tabs>
          <w:tab w:val="right" w:pos="10206"/>
        </w:tabs>
        <w:spacing w:before="240" w:after="60"/>
        <w:outlineLvl w:val="0"/>
        <w:rPr>
          <w:strike/>
          <w:spacing w:val="-4"/>
          <w:kern w:val="32"/>
        </w:rPr>
      </w:pPr>
      <w:r w:rsidRPr="00BA1772">
        <w:rPr>
          <w:spacing w:val="-4"/>
          <w:kern w:val="32"/>
        </w:rPr>
        <w:t>The current statutory scheme has demonstrated the incentive for compliance that was achieved by mandating the requirement to display a food hygiene rating physical sticker. Extending the requirement to</w:t>
      </w:r>
      <w:r w:rsidR="005221B8">
        <w:rPr>
          <w:spacing w:val="-4"/>
          <w:kern w:val="32"/>
        </w:rPr>
        <w:t xml:space="preserve"> include</w:t>
      </w:r>
      <w:r w:rsidRPr="00BA1772">
        <w:rPr>
          <w:spacing w:val="-4"/>
          <w:kern w:val="32"/>
        </w:rPr>
        <w:t xml:space="preserve"> displaying </w:t>
      </w:r>
      <w:r>
        <w:rPr>
          <w:spacing w:val="-4"/>
          <w:kern w:val="32"/>
        </w:rPr>
        <w:t xml:space="preserve">their FHR online </w:t>
      </w:r>
      <w:r w:rsidRPr="00534664">
        <w:rPr>
          <w:spacing w:val="-4"/>
          <w:kern w:val="32"/>
        </w:rPr>
        <w:t>w</w:t>
      </w:r>
      <w:r w:rsidR="007528AC">
        <w:rPr>
          <w:spacing w:val="-4"/>
          <w:kern w:val="32"/>
        </w:rPr>
        <w:t>ould</w:t>
      </w:r>
      <w:r w:rsidRPr="00BA1772">
        <w:rPr>
          <w:spacing w:val="-4"/>
          <w:kern w:val="32"/>
        </w:rPr>
        <w:t xml:space="preserve"> further increase business compliance with food hygiene law</w:t>
      </w:r>
      <w:r w:rsidR="00D959B4">
        <w:rPr>
          <w:spacing w:val="-4"/>
          <w:kern w:val="32"/>
        </w:rPr>
        <w:t>. T</w:t>
      </w:r>
      <w:r w:rsidRPr="00534664">
        <w:rPr>
          <w:spacing w:val="-4"/>
          <w:kern w:val="32"/>
        </w:rPr>
        <w:t xml:space="preserve">he </w:t>
      </w:r>
      <w:r w:rsidR="00D959B4">
        <w:rPr>
          <w:spacing w:val="-4"/>
          <w:kern w:val="32"/>
        </w:rPr>
        <w:t>subsequent</w:t>
      </w:r>
      <w:r w:rsidRPr="00BA1772">
        <w:rPr>
          <w:spacing w:val="-4"/>
          <w:kern w:val="32"/>
        </w:rPr>
        <w:t xml:space="preserve"> higher ratings (with earned recognition resulting in reduced inspection frequencies) received by food businesses could</w:t>
      </w:r>
      <w:r w:rsidR="00FB4EC4">
        <w:rPr>
          <w:spacing w:val="-4"/>
          <w:kern w:val="32"/>
        </w:rPr>
        <w:t xml:space="preserve"> see them</w:t>
      </w:r>
      <w:r w:rsidRPr="00BA1772">
        <w:rPr>
          <w:spacing w:val="-4"/>
          <w:kern w:val="32"/>
        </w:rPr>
        <w:t xml:space="preserve"> gain from reduced costs as they may be able to allocate their time and resources to business activities rather than inspections. The incentive</w:t>
      </w:r>
      <w:r w:rsidRPr="00BB5446">
        <w:t xml:space="preserve"> </w:t>
      </w:r>
      <w:r w:rsidR="003B5C99">
        <w:t>(</w:t>
      </w:r>
      <w:r w:rsidR="00BB5446" w:rsidRPr="00BB5446">
        <w:rPr>
          <w:spacing w:val="-4"/>
          <w:kern w:val="32"/>
        </w:rPr>
        <w:t>provided by</w:t>
      </w:r>
      <w:r w:rsidR="00BB5446">
        <w:rPr>
          <w:spacing w:val="-4"/>
          <w:kern w:val="32"/>
        </w:rPr>
        <w:t xml:space="preserve"> extending</w:t>
      </w:r>
      <w:r w:rsidR="00BB5446" w:rsidRPr="00BB5446">
        <w:rPr>
          <w:spacing w:val="-4"/>
          <w:kern w:val="32"/>
        </w:rPr>
        <w:t xml:space="preserve"> the existing statutory scheme</w:t>
      </w:r>
      <w:r w:rsidR="004D38A0">
        <w:rPr>
          <w:spacing w:val="-4"/>
          <w:kern w:val="32"/>
        </w:rPr>
        <w:t xml:space="preserve"> to online display</w:t>
      </w:r>
      <w:r w:rsidR="003B5C99">
        <w:rPr>
          <w:spacing w:val="-4"/>
          <w:kern w:val="32"/>
        </w:rPr>
        <w:t>)</w:t>
      </w:r>
      <w:r w:rsidRPr="00534664">
        <w:rPr>
          <w:spacing w:val="-4"/>
          <w:kern w:val="32"/>
        </w:rPr>
        <w:t xml:space="preserve"> for businesses to improve and maintain standards</w:t>
      </w:r>
      <w:r w:rsidR="00936CA5">
        <w:rPr>
          <w:spacing w:val="-4"/>
          <w:kern w:val="32"/>
        </w:rPr>
        <w:t xml:space="preserve"> </w:t>
      </w:r>
      <w:r w:rsidR="007676AD">
        <w:rPr>
          <w:spacing w:val="-4"/>
          <w:kern w:val="32"/>
        </w:rPr>
        <w:t>would be expected to</w:t>
      </w:r>
      <w:r w:rsidRPr="00534664">
        <w:rPr>
          <w:spacing w:val="-4"/>
          <w:kern w:val="32"/>
        </w:rPr>
        <w:t xml:space="preserve"> ensure that</w:t>
      </w:r>
      <w:r w:rsidR="000B7D5B">
        <w:rPr>
          <w:spacing w:val="-4"/>
          <w:kern w:val="32"/>
        </w:rPr>
        <w:t xml:space="preserve"> </w:t>
      </w:r>
      <w:r w:rsidR="00997401">
        <w:rPr>
          <w:spacing w:val="-4"/>
          <w:kern w:val="32"/>
        </w:rPr>
        <w:t xml:space="preserve">improved compliance continues </w:t>
      </w:r>
      <w:r w:rsidR="00FF5E84">
        <w:rPr>
          <w:spacing w:val="-4"/>
          <w:kern w:val="32"/>
        </w:rPr>
        <w:t>its</w:t>
      </w:r>
      <w:r w:rsidR="00997401">
        <w:rPr>
          <w:spacing w:val="-4"/>
          <w:kern w:val="32"/>
        </w:rPr>
        <w:t xml:space="preserve"> upward trend</w:t>
      </w:r>
      <w:r w:rsidR="00943780">
        <w:rPr>
          <w:spacing w:val="-4"/>
          <w:kern w:val="32"/>
        </w:rPr>
        <w:t xml:space="preserve"> initiated by mandating physical display</w:t>
      </w:r>
      <w:r w:rsidR="004F52AF">
        <w:rPr>
          <w:spacing w:val="-4"/>
          <w:kern w:val="32"/>
        </w:rPr>
        <w:t xml:space="preserve"> of the </w:t>
      </w:r>
      <w:r w:rsidR="005F1790">
        <w:rPr>
          <w:spacing w:val="-4"/>
          <w:kern w:val="32"/>
        </w:rPr>
        <w:t>food hygiene</w:t>
      </w:r>
      <w:r w:rsidR="001D5A09">
        <w:rPr>
          <w:spacing w:val="-4"/>
          <w:kern w:val="32"/>
        </w:rPr>
        <w:t xml:space="preserve"> </w:t>
      </w:r>
      <w:r w:rsidR="00F3460F">
        <w:rPr>
          <w:spacing w:val="-4"/>
          <w:kern w:val="32"/>
        </w:rPr>
        <w:t xml:space="preserve">rating </w:t>
      </w:r>
      <w:r w:rsidR="001D5A09">
        <w:rPr>
          <w:spacing w:val="-4"/>
          <w:kern w:val="32"/>
        </w:rPr>
        <w:t>sticker</w:t>
      </w:r>
      <w:r w:rsidR="00FA74D8">
        <w:rPr>
          <w:spacing w:val="-4"/>
          <w:kern w:val="32"/>
        </w:rPr>
        <w:t>,</w:t>
      </w:r>
      <w:r w:rsidR="001E0E27">
        <w:rPr>
          <w:spacing w:val="-4"/>
          <w:kern w:val="32"/>
        </w:rPr>
        <w:t xml:space="preserve"> consequently reducing the</w:t>
      </w:r>
      <w:r w:rsidR="00213944">
        <w:rPr>
          <w:spacing w:val="-4"/>
          <w:kern w:val="32"/>
        </w:rPr>
        <w:t xml:space="preserve"> future</w:t>
      </w:r>
      <w:r w:rsidR="001E0E27">
        <w:rPr>
          <w:spacing w:val="-4"/>
          <w:kern w:val="32"/>
        </w:rPr>
        <w:t xml:space="preserve"> need for enforcement action</w:t>
      </w:r>
      <w:r w:rsidR="00C14C14">
        <w:rPr>
          <w:spacing w:val="-4"/>
          <w:kern w:val="32"/>
        </w:rPr>
        <w:t xml:space="preserve"> at </w:t>
      </w:r>
      <w:r w:rsidR="003C29E7">
        <w:rPr>
          <w:spacing w:val="-4"/>
          <w:kern w:val="32"/>
        </w:rPr>
        <w:t>d</w:t>
      </w:r>
      <w:r w:rsidR="00C14C14">
        <w:rPr>
          <w:spacing w:val="-4"/>
          <w:kern w:val="32"/>
        </w:rPr>
        <w:t xml:space="preserve">istrict </w:t>
      </w:r>
      <w:r w:rsidR="003C29E7">
        <w:rPr>
          <w:spacing w:val="-4"/>
          <w:kern w:val="32"/>
        </w:rPr>
        <w:t>c</w:t>
      </w:r>
      <w:r w:rsidR="00C14C14">
        <w:rPr>
          <w:spacing w:val="-4"/>
          <w:kern w:val="32"/>
        </w:rPr>
        <w:t>ouncil level, or</w:t>
      </w:r>
      <w:r w:rsidR="00136D58">
        <w:rPr>
          <w:spacing w:val="-4"/>
          <w:kern w:val="32"/>
        </w:rPr>
        <w:t xml:space="preserve"> </w:t>
      </w:r>
      <w:r w:rsidR="00136D58">
        <w:rPr>
          <w:spacing w:val="-4"/>
          <w:kern w:val="32"/>
        </w:rPr>
        <w:lastRenderedPageBreak/>
        <w:t>further legislation at central government level</w:t>
      </w:r>
      <w:r w:rsidRPr="00534664">
        <w:rPr>
          <w:spacing w:val="-4"/>
          <w:kern w:val="32"/>
        </w:rPr>
        <w:t xml:space="preserve">. </w:t>
      </w:r>
      <w:r>
        <w:rPr>
          <w:spacing w:val="-4"/>
          <w:kern w:val="32"/>
        </w:rPr>
        <w:t>If online food ordering platforms operating in England, Wales and Northern Ireland update their platforms in line with the proposed regulations on a UK wide basis, these benefits will be realised by businesses across England and Wales, as well as Northern Ireland.</w:t>
      </w:r>
      <w:r w:rsidR="000E7537" w:rsidRPr="00534664">
        <w:rPr>
          <w:spacing w:val="-4"/>
          <w:kern w:val="32"/>
        </w:rPr>
        <w:t xml:space="preserve"> </w:t>
      </w:r>
      <w:r w:rsidR="0001123F" w:rsidRPr="00534664">
        <w:rPr>
          <w:spacing w:val="-4"/>
          <w:kern w:val="32"/>
        </w:rPr>
        <w:t xml:space="preserve">This benefit </w:t>
      </w:r>
      <w:r w:rsidR="00940797">
        <w:rPr>
          <w:spacing w:val="-4"/>
          <w:kern w:val="32"/>
        </w:rPr>
        <w:t>cannot</w:t>
      </w:r>
      <w:r w:rsidR="0001123F" w:rsidRPr="00534664">
        <w:rPr>
          <w:spacing w:val="-4"/>
          <w:kern w:val="32"/>
        </w:rPr>
        <w:t xml:space="preserve"> be monetised</w:t>
      </w:r>
      <w:r w:rsidR="005B22B1">
        <w:rPr>
          <w:spacing w:val="-4"/>
          <w:kern w:val="32"/>
        </w:rPr>
        <w:t xml:space="preserve"> due to a lack of</w:t>
      </w:r>
      <w:r w:rsidR="000C652F">
        <w:rPr>
          <w:spacing w:val="-4"/>
          <w:kern w:val="32"/>
        </w:rPr>
        <w:t xml:space="preserve"> enforcement</w:t>
      </w:r>
      <w:r w:rsidR="0094581C">
        <w:rPr>
          <w:spacing w:val="-4"/>
          <w:kern w:val="32"/>
        </w:rPr>
        <w:t xml:space="preserve"> data</w:t>
      </w:r>
      <w:r w:rsidR="00B90A94">
        <w:rPr>
          <w:spacing w:val="-4"/>
          <w:kern w:val="32"/>
        </w:rPr>
        <w:t xml:space="preserve"> </w:t>
      </w:r>
      <w:r w:rsidR="000C652F">
        <w:rPr>
          <w:spacing w:val="-4"/>
          <w:kern w:val="32"/>
        </w:rPr>
        <w:t>with</w:t>
      </w:r>
      <w:r w:rsidR="00B90A94">
        <w:rPr>
          <w:spacing w:val="-4"/>
          <w:kern w:val="32"/>
        </w:rPr>
        <w:t xml:space="preserve"> the necessary granularity to conduct the </w:t>
      </w:r>
      <w:r w:rsidR="0012372A">
        <w:rPr>
          <w:spacing w:val="-4"/>
          <w:kern w:val="32"/>
        </w:rPr>
        <w:t>analysis required</w:t>
      </w:r>
      <w:r w:rsidR="00B90A94">
        <w:rPr>
          <w:spacing w:val="-4"/>
          <w:kern w:val="32"/>
        </w:rPr>
        <w:t>.</w:t>
      </w:r>
      <w:r w:rsidR="0012372A">
        <w:rPr>
          <w:spacing w:val="-4"/>
          <w:kern w:val="32"/>
        </w:rPr>
        <w:t xml:space="preserve"> </w:t>
      </w:r>
    </w:p>
    <w:p w14:paraId="22D1EB2D" w14:textId="1177AABE" w:rsidR="008173FA" w:rsidRPr="006B20DE" w:rsidRDefault="008173FA" w:rsidP="00A80445">
      <w:pPr>
        <w:pStyle w:val="Heading3"/>
      </w:pPr>
      <w:r w:rsidRPr="006B20DE">
        <w:t>Growth of the online food ordering market</w:t>
      </w:r>
    </w:p>
    <w:p w14:paraId="6A37E1AE" w14:textId="120FD728" w:rsidR="008173FA" w:rsidRDefault="008173FA" w:rsidP="00E10B42">
      <w:pPr>
        <w:pStyle w:val="ListParagraph"/>
        <w:keepNext/>
        <w:numPr>
          <w:ilvl w:val="0"/>
          <w:numId w:val="7"/>
        </w:numPr>
        <w:tabs>
          <w:tab w:val="right" w:pos="10206"/>
        </w:tabs>
        <w:spacing w:before="240" w:after="60"/>
        <w:outlineLvl w:val="0"/>
      </w:pPr>
      <w:r w:rsidRPr="00BA1772">
        <w:rPr>
          <w:spacing w:val="-4"/>
          <w:kern w:val="32"/>
        </w:rPr>
        <w:t xml:space="preserve">Making the online display of ratings mandatory could increase consumer awareness of food hygiene </w:t>
      </w:r>
      <w:r w:rsidRPr="00534664">
        <w:rPr>
          <w:spacing w:val="-4"/>
          <w:kern w:val="32"/>
        </w:rPr>
        <w:t>practi</w:t>
      </w:r>
      <w:r w:rsidR="00A74F09" w:rsidRPr="00534664">
        <w:rPr>
          <w:spacing w:val="-4"/>
          <w:kern w:val="32"/>
        </w:rPr>
        <w:t>c</w:t>
      </w:r>
      <w:r w:rsidRPr="00534664">
        <w:rPr>
          <w:spacing w:val="-4"/>
          <w:kern w:val="32"/>
        </w:rPr>
        <w:t>es</w:t>
      </w:r>
      <w:r w:rsidRPr="00BA1772">
        <w:rPr>
          <w:spacing w:val="-4"/>
          <w:kern w:val="32"/>
        </w:rPr>
        <w:t xml:space="preserve"> in food establishments and give consumers increased confidence in ordering food online, particularly with new businesses or businesses they are unfamiliar with. This increased transparency could have the effect of growing the market by increasing consumers’ confidence in the online food industry.</w:t>
      </w:r>
      <w:r w:rsidR="000A192E" w:rsidRPr="000A192E">
        <w:t xml:space="preserve"> </w:t>
      </w:r>
      <w:r w:rsidR="001D22D8">
        <w:t xml:space="preserve">FSA commissioned research has shown that </w:t>
      </w:r>
      <w:r w:rsidR="001D22D8">
        <w:rPr>
          <w:spacing w:val="-4"/>
          <w:kern w:val="32"/>
        </w:rPr>
        <w:t>a</w:t>
      </w:r>
      <w:r w:rsidR="000A192E" w:rsidRPr="000A192E">
        <w:rPr>
          <w:spacing w:val="-4"/>
          <w:kern w:val="32"/>
        </w:rPr>
        <w:t>dults aged 44 years or under (</w:t>
      </w:r>
      <w:r w:rsidR="00621D69">
        <w:rPr>
          <w:spacing w:val="-4"/>
          <w:kern w:val="32"/>
        </w:rPr>
        <w:t>e.g.,</w:t>
      </w:r>
      <w:r w:rsidR="000A192E" w:rsidRPr="000A192E">
        <w:rPr>
          <w:spacing w:val="-4"/>
          <w:kern w:val="32"/>
        </w:rPr>
        <w:t xml:space="preserve"> 42% of those aged 35-44 years) were more likely to have ordered food or drink from an online marketplace than those aged 55 years or over (</w:t>
      </w:r>
      <w:r w:rsidR="00621D69">
        <w:rPr>
          <w:spacing w:val="-4"/>
          <w:kern w:val="32"/>
        </w:rPr>
        <w:t>e.g.</w:t>
      </w:r>
      <w:r w:rsidR="000A192E" w:rsidRPr="000A192E">
        <w:rPr>
          <w:spacing w:val="-4"/>
          <w:kern w:val="32"/>
        </w:rPr>
        <w:t xml:space="preserve">, 11% of those aged 75 years and over). </w:t>
      </w:r>
      <w:r w:rsidR="00C33847">
        <w:rPr>
          <w:spacing w:val="-4"/>
          <w:kern w:val="32"/>
        </w:rPr>
        <w:t>Similarly,</w:t>
      </w:r>
      <w:r w:rsidR="000A192E" w:rsidRPr="000A192E">
        <w:rPr>
          <w:spacing w:val="-4"/>
          <w:kern w:val="32"/>
        </w:rPr>
        <w:t xml:space="preserve"> adults aged 44 years or under (</w:t>
      </w:r>
      <w:r w:rsidR="006B49B5">
        <w:rPr>
          <w:spacing w:val="-4"/>
          <w:kern w:val="32"/>
        </w:rPr>
        <w:t>e.g.</w:t>
      </w:r>
      <w:r w:rsidR="000A192E" w:rsidRPr="000A192E">
        <w:rPr>
          <w:spacing w:val="-4"/>
          <w:kern w:val="32"/>
        </w:rPr>
        <w:t>, 20% of those aged 16-24 years) were more likely to have ordered food or drink from social media than those aged 55 years or over (</w:t>
      </w:r>
      <w:r w:rsidR="006B49B5">
        <w:rPr>
          <w:spacing w:val="-4"/>
          <w:kern w:val="32"/>
        </w:rPr>
        <w:t>e.g.</w:t>
      </w:r>
      <w:r w:rsidR="000A192E" w:rsidRPr="000A192E">
        <w:rPr>
          <w:spacing w:val="-4"/>
          <w:kern w:val="32"/>
        </w:rPr>
        <w:t>, 8% of those aged 55-64 years)</w:t>
      </w:r>
      <w:r w:rsidR="00955EF2">
        <w:rPr>
          <w:rStyle w:val="FootnoteReference"/>
          <w:spacing w:val="-4"/>
          <w:kern w:val="32"/>
        </w:rPr>
        <w:footnoteReference w:id="23"/>
      </w:r>
      <w:r w:rsidR="000A192E" w:rsidRPr="000A192E">
        <w:rPr>
          <w:spacing w:val="-4"/>
          <w:kern w:val="32"/>
        </w:rPr>
        <w:t>.</w:t>
      </w:r>
      <w:r w:rsidR="00A74F09">
        <w:rPr>
          <w:spacing w:val="-4"/>
          <w:kern w:val="32"/>
        </w:rPr>
        <w:t xml:space="preserve"> Consumer confidence is an extremely difficult </w:t>
      </w:r>
      <w:r w:rsidR="008B2B6D">
        <w:rPr>
          <w:spacing w:val="-4"/>
          <w:kern w:val="32"/>
        </w:rPr>
        <w:t>concept to monetise</w:t>
      </w:r>
      <w:r w:rsidR="008C16E9">
        <w:rPr>
          <w:spacing w:val="-4"/>
          <w:kern w:val="32"/>
        </w:rPr>
        <w:t xml:space="preserve"> even with access to consumer</w:t>
      </w:r>
      <w:r w:rsidR="00837521">
        <w:rPr>
          <w:spacing w:val="-4"/>
          <w:kern w:val="32"/>
        </w:rPr>
        <w:t>-level data such as</w:t>
      </w:r>
      <w:r w:rsidR="008C16E9">
        <w:rPr>
          <w:spacing w:val="-4"/>
          <w:kern w:val="32"/>
        </w:rPr>
        <w:t xml:space="preserve"> survey </w:t>
      </w:r>
      <w:r w:rsidR="00837521">
        <w:rPr>
          <w:spacing w:val="-4"/>
          <w:kern w:val="32"/>
        </w:rPr>
        <w:t>results</w:t>
      </w:r>
      <w:r w:rsidR="008B2B6D">
        <w:rPr>
          <w:spacing w:val="-4"/>
          <w:kern w:val="32"/>
        </w:rPr>
        <w:t>, and as such this benefit cannot be monetised at this time</w:t>
      </w:r>
      <w:r w:rsidR="009D66A4">
        <w:rPr>
          <w:spacing w:val="-4"/>
          <w:kern w:val="32"/>
        </w:rPr>
        <w:t>.</w:t>
      </w:r>
      <w:r w:rsidR="003C7248" w:rsidRPr="00B874BB">
        <w:rPr>
          <w:color w:val="FF0000"/>
          <w:spacing w:val="-4"/>
          <w:kern w:val="32"/>
        </w:rPr>
        <w:t xml:space="preserve"> </w:t>
      </w:r>
      <w:r w:rsidR="00FC2623">
        <w:rPr>
          <w:color w:val="FF0000"/>
          <w:spacing w:val="-4"/>
          <w:kern w:val="32"/>
        </w:rPr>
        <w:br/>
      </w:r>
    </w:p>
    <w:p w14:paraId="7502D8E3" w14:textId="3889F91A" w:rsidR="00BD6EDB" w:rsidRDefault="00ED32B1" w:rsidP="00E10B42">
      <w:pPr>
        <w:pStyle w:val="ListParagraph"/>
        <w:keepNext/>
        <w:numPr>
          <w:ilvl w:val="0"/>
          <w:numId w:val="7"/>
        </w:numPr>
        <w:tabs>
          <w:tab w:val="right" w:pos="10206"/>
        </w:tabs>
        <w:spacing w:before="240" w:after="60"/>
        <w:outlineLvl w:val="0"/>
      </w:pPr>
      <w:r>
        <w:t xml:space="preserve">As well as this impact on </w:t>
      </w:r>
      <w:r w:rsidR="00A7024E">
        <w:t xml:space="preserve">consumer confidence and its effect on growing the online food ordering market in absolute terms, it is also possible that </w:t>
      </w:r>
      <w:r w:rsidR="00FC2623">
        <w:t xml:space="preserve">mandating online display </w:t>
      </w:r>
      <w:r w:rsidR="009D4ECF">
        <w:t>could</w:t>
      </w:r>
      <w:r w:rsidR="00FC2623">
        <w:t xml:space="preserve"> affect how these revenues are distributed.</w:t>
      </w:r>
      <w:r w:rsidR="00853990">
        <w:t xml:space="preserve"> With the information asymmetry</w:t>
      </w:r>
      <w:r w:rsidR="00C55E2A">
        <w:t xml:space="preserve"> regarding compliance resolved</w:t>
      </w:r>
      <w:r w:rsidR="00B92CCC">
        <w:t>,</w:t>
      </w:r>
      <w:r w:rsidR="001F68EB">
        <w:t xml:space="preserve"> </w:t>
      </w:r>
      <w:r w:rsidR="00183F7C">
        <w:t>consumers</w:t>
      </w:r>
      <w:r w:rsidR="001F68EB">
        <w:t xml:space="preserve"> will have</w:t>
      </w:r>
      <w:r w:rsidR="005B5B87">
        <w:t xml:space="preserve"> more information about the standard</w:t>
      </w:r>
      <w:r w:rsidR="00A65798">
        <w:t>s</w:t>
      </w:r>
      <w:r w:rsidR="005B5B87">
        <w:t xml:space="preserve"> of hygiene </w:t>
      </w:r>
      <w:r w:rsidR="007A45FD">
        <w:t xml:space="preserve">found </w:t>
      </w:r>
      <w:r w:rsidR="005B5B87">
        <w:t xml:space="preserve">in </w:t>
      </w:r>
      <w:r w:rsidR="007A45FD">
        <w:t xml:space="preserve">a </w:t>
      </w:r>
      <w:r w:rsidR="005B5B87">
        <w:t>food business</w:t>
      </w:r>
      <w:r w:rsidR="00C55E2A">
        <w:t xml:space="preserve"> </w:t>
      </w:r>
      <w:r w:rsidR="007A45FD">
        <w:t xml:space="preserve">at the time of an inspection, </w:t>
      </w:r>
      <w:r w:rsidR="00226289">
        <w:t>enabling them to</w:t>
      </w:r>
      <w:r w:rsidR="00C55E2A">
        <w:t xml:space="preserve"> </w:t>
      </w:r>
      <w:r w:rsidR="0079297C">
        <w:t>make more informed choices</w:t>
      </w:r>
      <w:r w:rsidR="00BD66F2">
        <w:t>. A</w:t>
      </w:r>
      <w:r w:rsidR="002E5B05">
        <w:t>s a result</w:t>
      </w:r>
      <w:r w:rsidR="00BD66F2">
        <w:t>, they</w:t>
      </w:r>
      <w:r w:rsidR="002E5B05">
        <w:t xml:space="preserve"> may</w:t>
      </w:r>
      <w:r w:rsidR="00C71383">
        <w:t xml:space="preserve"> </w:t>
      </w:r>
      <w:r w:rsidR="00365BEC">
        <w:t>take their custom to the highe</w:t>
      </w:r>
      <w:r w:rsidR="00066678">
        <w:t>r</w:t>
      </w:r>
      <w:r w:rsidR="00365BEC">
        <w:t xml:space="preserve"> rated (</w:t>
      </w:r>
      <w:r w:rsidR="002E5B05">
        <w:t>more</w:t>
      </w:r>
      <w:r w:rsidR="00365BEC">
        <w:t xml:space="preserve"> compliant) businesses</w:t>
      </w:r>
      <w:r w:rsidR="001A5639">
        <w:t xml:space="preserve">. Over a longer time period this would result in </w:t>
      </w:r>
      <w:r w:rsidR="002956B5">
        <w:t xml:space="preserve">revenues </w:t>
      </w:r>
      <w:r w:rsidR="001E7714">
        <w:t xml:space="preserve">being directly related to compliance levels, incentivising businesses </w:t>
      </w:r>
      <w:r w:rsidR="00C45D7C">
        <w:t>to achieve high</w:t>
      </w:r>
      <w:r w:rsidR="00A47F33">
        <w:t>er standards of food hygiene</w:t>
      </w:r>
      <w:r w:rsidR="006C6442">
        <w:t xml:space="preserve"> and fully realis</w:t>
      </w:r>
      <w:r w:rsidR="00A47F33">
        <w:t>ing</w:t>
      </w:r>
      <w:r w:rsidR="006C6442">
        <w:t xml:space="preserve"> the benefits </w:t>
      </w:r>
      <w:r w:rsidR="00B96C77">
        <w:t>of</w:t>
      </w:r>
      <w:r w:rsidR="00A47F33">
        <w:t xml:space="preserve"> complying with food law</w:t>
      </w:r>
      <w:r w:rsidR="00D62154">
        <w:t xml:space="preserve"> and displaying a higher </w:t>
      </w:r>
      <w:r w:rsidR="00991D39">
        <w:t>FHR online.</w:t>
      </w:r>
      <w:r w:rsidR="00E97F2E">
        <w:t xml:space="preserve"> For the purposes of this impact assessment</w:t>
      </w:r>
      <w:r w:rsidR="00991674">
        <w:t>, this benefit has not been monetised</w:t>
      </w:r>
      <w:r w:rsidR="002F6F56">
        <w:t xml:space="preserve">, due to both lack of data and the </w:t>
      </w:r>
      <w:r w:rsidR="0031286B">
        <w:t>status of this benefit as a transfer</w:t>
      </w:r>
      <w:r w:rsidR="00DA613B">
        <w:t xml:space="preserve">, which </w:t>
      </w:r>
      <w:r w:rsidR="00F01ABE">
        <w:t xml:space="preserve">in accordance </w:t>
      </w:r>
      <w:r w:rsidR="00FE2BEB">
        <w:t xml:space="preserve">with impact assessment guidance </w:t>
      </w:r>
      <w:r w:rsidR="001878BE">
        <w:t>should not</w:t>
      </w:r>
      <w:r w:rsidR="00786040">
        <w:t xml:space="preserve"> be monetised</w:t>
      </w:r>
      <w:r w:rsidR="00E76D6E">
        <w:t>.</w:t>
      </w:r>
    </w:p>
    <w:p w14:paraId="6C2DB9B9" w14:textId="4A2C36E7" w:rsidR="008173FA" w:rsidRPr="006B20DE" w:rsidRDefault="008173FA" w:rsidP="00A80445">
      <w:pPr>
        <w:pStyle w:val="Heading2"/>
      </w:pPr>
      <w:r w:rsidRPr="006B20DE">
        <w:t xml:space="preserve">Benefits to </w:t>
      </w:r>
      <w:r w:rsidR="003C29E7">
        <w:t>d</w:t>
      </w:r>
      <w:r w:rsidRPr="006B20DE">
        <w:t xml:space="preserve">istrict </w:t>
      </w:r>
      <w:r w:rsidR="003C29E7">
        <w:t>c</w:t>
      </w:r>
      <w:r w:rsidRPr="006B20DE">
        <w:t>ouncils</w:t>
      </w:r>
    </w:p>
    <w:p w14:paraId="3A6C1FD4" w14:textId="77777777" w:rsidR="008173FA" w:rsidRPr="006B20DE" w:rsidRDefault="008173FA" w:rsidP="00A80445">
      <w:pPr>
        <w:pStyle w:val="Heading3"/>
      </w:pPr>
      <w:bookmarkStart w:id="10" w:name="_Hlk102260792"/>
      <w:r w:rsidRPr="006B20DE">
        <w:t>Efficiency gains from resource allocation</w:t>
      </w:r>
    </w:p>
    <w:bookmarkEnd w:id="10"/>
    <w:p w14:paraId="610DC9CD" w14:textId="64B1A577" w:rsidR="008173FA" w:rsidRPr="00BA1772" w:rsidRDefault="008173FA" w:rsidP="00E10B42">
      <w:pPr>
        <w:pStyle w:val="ListParagraph"/>
        <w:keepNext/>
        <w:numPr>
          <w:ilvl w:val="0"/>
          <w:numId w:val="7"/>
        </w:numPr>
        <w:tabs>
          <w:tab w:val="right" w:pos="10206"/>
        </w:tabs>
        <w:spacing w:before="240" w:after="60"/>
        <w:outlineLvl w:val="0"/>
        <w:rPr>
          <w:spacing w:val="-4"/>
          <w:kern w:val="32"/>
        </w:rPr>
      </w:pPr>
      <w:r w:rsidRPr="00BA1772">
        <w:rPr>
          <w:spacing w:val="-4"/>
          <w:kern w:val="32"/>
        </w:rPr>
        <w:t xml:space="preserve">If mandatory online display leads to improved business compliance with food hygiene law as we have seen under the current statutory scheme, this could lead to a further reduction in the number of inspections that </w:t>
      </w:r>
      <w:r w:rsidR="00501C10">
        <w:rPr>
          <w:spacing w:val="-4"/>
          <w:kern w:val="32"/>
        </w:rPr>
        <w:t>d</w:t>
      </w:r>
      <w:r w:rsidR="002975DD">
        <w:rPr>
          <w:spacing w:val="-4"/>
          <w:kern w:val="32"/>
        </w:rPr>
        <w:t xml:space="preserve">istrict </w:t>
      </w:r>
      <w:r w:rsidR="00501C10">
        <w:rPr>
          <w:spacing w:val="-4"/>
          <w:kern w:val="32"/>
        </w:rPr>
        <w:t>c</w:t>
      </w:r>
      <w:r w:rsidR="002975DD">
        <w:rPr>
          <w:spacing w:val="-4"/>
          <w:kern w:val="32"/>
        </w:rPr>
        <w:t>ouncil</w:t>
      </w:r>
      <w:r w:rsidRPr="00534664">
        <w:rPr>
          <w:spacing w:val="-4"/>
          <w:kern w:val="32"/>
        </w:rPr>
        <w:t>s</w:t>
      </w:r>
      <w:r w:rsidRPr="00BA1772">
        <w:rPr>
          <w:spacing w:val="-4"/>
          <w:kern w:val="32"/>
        </w:rPr>
        <w:t xml:space="preserve"> need to carry out (inspection frequencies are risk-based).  This could in turn generate efficiency gains if </w:t>
      </w:r>
      <w:r w:rsidR="00501C10">
        <w:rPr>
          <w:spacing w:val="-4"/>
          <w:kern w:val="32"/>
        </w:rPr>
        <w:t>d</w:t>
      </w:r>
      <w:r w:rsidR="002975DD">
        <w:rPr>
          <w:spacing w:val="-4"/>
          <w:kern w:val="32"/>
        </w:rPr>
        <w:t xml:space="preserve">istrict </w:t>
      </w:r>
      <w:r w:rsidR="00501C10">
        <w:rPr>
          <w:spacing w:val="-4"/>
          <w:kern w:val="32"/>
        </w:rPr>
        <w:t>c</w:t>
      </w:r>
      <w:r w:rsidR="002975DD">
        <w:rPr>
          <w:spacing w:val="-4"/>
          <w:kern w:val="32"/>
        </w:rPr>
        <w:t>ouncil</w:t>
      </w:r>
      <w:r w:rsidRPr="00534664">
        <w:rPr>
          <w:spacing w:val="-4"/>
          <w:kern w:val="32"/>
        </w:rPr>
        <w:t>s</w:t>
      </w:r>
      <w:r w:rsidRPr="00BA1772">
        <w:rPr>
          <w:spacing w:val="-4"/>
          <w:kern w:val="32"/>
        </w:rPr>
        <w:t xml:space="preserve"> are able to reallocate resources to other areas of food safety concern. </w:t>
      </w:r>
      <w:r w:rsidRPr="006D2F36">
        <w:rPr>
          <w:spacing w:val="-4"/>
          <w:kern w:val="32"/>
        </w:rPr>
        <w:t>This benefit is however very difficult to monetise.</w:t>
      </w:r>
    </w:p>
    <w:p w14:paraId="75AE2187" w14:textId="77777777" w:rsidR="00A635ED" w:rsidRDefault="00A635ED" w:rsidP="00A635ED">
      <w:pPr>
        <w:rPr>
          <w:b/>
          <w:bCs/>
          <w:iCs/>
          <w:sz w:val="28"/>
          <w:szCs w:val="28"/>
        </w:rPr>
      </w:pPr>
    </w:p>
    <w:p w14:paraId="76814BE8" w14:textId="758DFB9A" w:rsidR="00A635ED" w:rsidRPr="006B20DE" w:rsidRDefault="008173FA" w:rsidP="00A80445">
      <w:pPr>
        <w:pStyle w:val="Heading2"/>
        <w:rPr>
          <w:color w:val="000000" w:themeColor="text1"/>
          <w:lang w:eastAsia="en-US"/>
        </w:rPr>
      </w:pPr>
      <w:r w:rsidRPr="006B20DE">
        <w:t>Benefits to Consumers</w:t>
      </w:r>
    </w:p>
    <w:p w14:paraId="27BDE3FC" w14:textId="1EBFC24F" w:rsidR="00A64620" w:rsidRDefault="008173FA" w:rsidP="00E10B42">
      <w:pPr>
        <w:pStyle w:val="ListParagraph"/>
        <w:numPr>
          <w:ilvl w:val="0"/>
          <w:numId w:val="7"/>
        </w:numPr>
        <w:spacing w:before="240" w:after="60"/>
        <w:rPr>
          <w:color w:val="000000" w:themeColor="text1"/>
        </w:rPr>
      </w:pPr>
      <w:bookmarkStart w:id="11" w:name="_Hlk102260331"/>
      <w:r w:rsidRPr="1C382D43">
        <w:rPr>
          <w:color w:val="000000" w:themeColor="text1"/>
        </w:rPr>
        <w:t>Consumers would realise a benefit in terms of increased confidence as a result of being better able to make informed choices about food they buy online. This benefit is very difficult to monetise without further evidence</w:t>
      </w:r>
      <w:r w:rsidR="00200740" w:rsidRPr="1C382D43">
        <w:rPr>
          <w:color w:val="000000" w:themeColor="text1"/>
        </w:rPr>
        <w:t xml:space="preserve">, as the main benefit to consumers in this </w:t>
      </w:r>
      <w:r w:rsidR="00200740" w:rsidRPr="1C382D43">
        <w:rPr>
          <w:color w:val="000000" w:themeColor="text1"/>
        </w:rPr>
        <w:lastRenderedPageBreak/>
        <w:t>context is improved access to information, which could benefit consumers and wider society through a variety of complex channels</w:t>
      </w:r>
      <w:r w:rsidRPr="1C382D43">
        <w:rPr>
          <w:color w:val="000000" w:themeColor="text1"/>
        </w:rPr>
        <w:t xml:space="preserve">. </w:t>
      </w:r>
      <w:bookmarkEnd w:id="11"/>
      <w:r w:rsidR="0098517E" w:rsidRPr="1C382D43">
        <w:rPr>
          <w:color w:val="000000" w:themeColor="text1"/>
        </w:rPr>
        <w:t xml:space="preserve"> </w:t>
      </w:r>
    </w:p>
    <w:p w14:paraId="5F6177D2" w14:textId="77777777" w:rsidR="00A0494C" w:rsidRDefault="00A0494C">
      <w:pPr>
        <w:spacing w:before="240" w:after="60"/>
        <w:ind w:left="709"/>
        <w:rPr>
          <w:color w:val="000000" w:themeColor="text1"/>
        </w:rPr>
      </w:pPr>
    </w:p>
    <w:p w14:paraId="684AA24F" w14:textId="49F494EC" w:rsidR="00A64620" w:rsidRPr="006B20DE" w:rsidRDefault="00A64620" w:rsidP="00A80445">
      <w:pPr>
        <w:pStyle w:val="Heading2"/>
        <w:rPr>
          <w:rFonts w:eastAsia="Calibri"/>
        </w:rPr>
      </w:pPr>
      <w:r w:rsidRPr="006B20DE">
        <w:rPr>
          <w:rFonts w:eastAsia="Calibri"/>
        </w:rPr>
        <w:t>Summary of Costs and Benefits under Option 2</w:t>
      </w:r>
      <w:r w:rsidR="00D213BA">
        <w:rPr>
          <w:rFonts w:eastAsia="Calibri"/>
        </w:rPr>
        <w:t xml:space="preserve"> (</w:t>
      </w:r>
      <w:r w:rsidR="005B5EF6">
        <w:rPr>
          <w:rFonts w:eastAsia="Calibri"/>
        </w:rPr>
        <w:t>including d</w:t>
      </w:r>
      <w:r w:rsidR="00233D40" w:rsidRPr="006B20DE">
        <w:rPr>
          <w:rFonts w:eastAsia="Calibri"/>
        </w:rPr>
        <w:t>irect cost to business</w:t>
      </w:r>
      <w:r w:rsidR="005B5EF6">
        <w:rPr>
          <w:rFonts w:eastAsia="Calibri"/>
        </w:rPr>
        <w:t xml:space="preserve"> figures)</w:t>
      </w:r>
    </w:p>
    <w:p w14:paraId="5C38AB45" w14:textId="3357D020" w:rsidR="00A64620" w:rsidRDefault="004B059C" w:rsidP="00E10B42">
      <w:pPr>
        <w:pStyle w:val="ListParagraph"/>
        <w:numPr>
          <w:ilvl w:val="0"/>
          <w:numId w:val="7"/>
        </w:numPr>
        <w:spacing w:before="240" w:after="60"/>
        <w:rPr>
          <w:color w:val="000000"/>
        </w:rPr>
      </w:pPr>
      <w:r w:rsidRPr="1C382D43">
        <w:rPr>
          <w:color w:val="000000" w:themeColor="text1"/>
        </w:rPr>
        <w:t xml:space="preserve">The total estimated nominal cost of Option 2 </w:t>
      </w:r>
      <w:r w:rsidR="00837C70" w:rsidRPr="1C382D43">
        <w:rPr>
          <w:color w:val="000000" w:themeColor="text1"/>
        </w:rPr>
        <w:t xml:space="preserve">is </w:t>
      </w:r>
      <w:r w:rsidR="00712A8F" w:rsidRPr="1C382D43">
        <w:rPr>
          <w:color w:val="000000" w:themeColor="text1"/>
        </w:rPr>
        <w:t>£</w:t>
      </w:r>
      <w:r w:rsidR="004F54E7" w:rsidRPr="1C382D43">
        <w:rPr>
          <w:color w:val="000000" w:themeColor="text1"/>
        </w:rPr>
        <w:t>0.</w:t>
      </w:r>
      <w:r w:rsidR="002743D8">
        <w:rPr>
          <w:color w:val="000000" w:themeColor="text1"/>
        </w:rPr>
        <w:t>83</w:t>
      </w:r>
      <w:r w:rsidR="00712A8F" w:rsidRPr="1C382D43">
        <w:rPr>
          <w:color w:val="000000" w:themeColor="text1"/>
        </w:rPr>
        <w:t>m</w:t>
      </w:r>
      <w:r w:rsidR="001534DC" w:rsidRPr="1C382D43">
        <w:rPr>
          <w:color w:val="000000" w:themeColor="text1"/>
        </w:rPr>
        <w:t xml:space="preserve"> with a Present Value (</w:t>
      </w:r>
      <w:r w:rsidR="002D67B0" w:rsidRPr="1C382D43">
        <w:rPr>
          <w:color w:val="000000" w:themeColor="text1"/>
        </w:rPr>
        <w:t xml:space="preserve">2023 </w:t>
      </w:r>
      <w:r w:rsidR="00373ED8" w:rsidRPr="1C382D43">
        <w:rPr>
          <w:color w:val="000000" w:themeColor="text1"/>
        </w:rPr>
        <w:t>PV</w:t>
      </w:r>
      <w:r w:rsidR="002D67B0" w:rsidRPr="1C382D43">
        <w:rPr>
          <w:color w:val="000000" w:themeColor="text1"/>
        </w:rPr>
        <w:t xml:space="preserve"> Base Year) of £0.</w:t>
      </w:r>
      <w:r w:rsidR="005C2F8B">
        <w:rPr>
          <w:color w:val="000000" w:themeColor="text1"/>
        </w:rPr>
        <w:t>83</w:t>
      </w:r>
      <w:r w:rsidR="002D67B0" w:rsidRPr="1C382D43">
        <w:rPr>
          <w:color w:val="000000" w:themeColor="text1"/>
        </w:rPr>
        <w:t xml:space="preserve">m </w:t>
      </w:r>
      <w:r w:rsidR="00C07D4E" w:rsidRPr="1C382D43">
        <w:rPr>
          <w:color w:val="000000" w:themeColor="text1"/>
        </w:rPr>
        <w:t>over</w:t>
      </w:r>
      <w:r w:rsidR="007E6A75" w:rsidRPr="1C382D43">
        <w:rPr>
          <w:color w:val="000000" w:themeColor="text1"/>
        </w:rPr>
        <w:t xml:space="preserve"> a ten-year period</w:t>
      </w:r>
      <w:r w:rsidR="00125679" w:rsidRPr="1C382D43">
        <w:rPr>
          <w:color w:val="000000" w:themeColor="text1"/>
        </w:rPr>
        <w:t>, of which</w:t>
      </w:r>
      <w:r w:rsidR="006518AE" w:rsidRPr="1C382D43">
        <w:rPr>
          <w:color w:val="000000" w:themeColor="text1"/>
        </w:rPr>
        <w:t xml:space="preserve"> £0.76m</w:t>
      </w:r>
      <w:r w:rsidR="00125679" w:rsidRPr="1C382D43">
        <w:rPr>
          <w:color w:val="000000" w:themeColor="text1"/>
        </w:rPr>
        <w:t xml:space="preserve"> fall on industry.</w:t>
      </w:r>
      <w:r w:rsidR="00AF55C0" w:rsidRPr="1C382D43">
        <w:rPr>
          <w:color w:val="000000" w:themeColor="text1"/>
        </w:rPr>
        <w:t xml:space="preserve"> There are no monetised benefits for Option 2</w:t>
      </w:r>
      <w:r w:rsidR="000A735D" w:rsidRPr="1C382D43">
        <w:rPr>
          <w:color w:val="000000" w:themeColor="text1"/>
        </w:rPr>
        <w:t xml:space="preserve">, resulting in </w:t>
      </w:r>
      <w:r w:rsidR="00BD49EE" w:rsidRPr="1C382D43">
        <w:rPr>
          <w:color w:val="000000" w:themeColor="text1"/>
        </w:rPr>
        <w:t xml:space="preserve">a </w:t>
      </w:r>
      <w:r w:rsidR="00CC1761" w:rsidRPr="1C382D43">
        <w:rPr>
          <w:color w:val="000000" w:themeColor="text1"/>
        </w:rPr>
        <w:t xml:space="preserve">net benefit to society of </w:t>
      </w:r>
      <w:r w:rsidR="00376AF4" w:rsidRPr="1C382D43">
        <w:rPr>
          <w:color w:val="000000" w:themeColor="text1"/>
        </w:rPr>
        <w:t>-£</w:t>
      </w:r>
      <w:r w:rsidR="007931D6" w:rsidRPr="1C382D43">
        <w:rPr>
          <w:color w:val="000000" w:themeColor="text1"/>
        </w:rPr>
        <w:t>0.</w:t>
      </w:r>
      <w:r w:rsidR="000519FF">
        <w:rPr>
          <w:color w:val="000000" w:themeColor="text1"/>
        </w:rPr>
        <w:t>83</w:t>
      </w:r>
      <w:r w:rsidR="00376AF4" w:rsidRPr="1C382D43">
        <w:rPr>
          <w:color w:val="000000" w:themeColor="text1"/>
        </w:rPr>
        <w:t xml:space="preserve">m </w:t>
      </w:r>
      <w:r w:rsidR="00AD2285" w:rsidRPr="1C382D43">
        <w:rPr>
          <w:color w:val="000000" w:themeColor="text1"/>
        </w:rPr>
        <w:t xml:space="preserve">with a PV </w:t>
      </w:r>
      <w:r w:rsidR="00B34C97" w:rsidRPr="1C382D43">
        <w:rPr>
          <w:color w:val="000000" w:themeColor="text1"/>
        </w:rPr>
        <w:t xml:space="preserve">over a ten-year period of </w:t>
      </w:r>
      <w:r w:rsidR="008C345D" w:rsidRPr="1C382D43">
        <w:rPr>
          <w:color w:val="000000" w:themeColor="text1"/>
        </w:rPr>
        <w:t>-£0.</w:t>
      </w:r>
      <w:r w:rsidR="000519FF">
        <w:rPr>
          <w:color w:val="000000" w:themeColor="text1"/>
        </w:rPr>
        <w:t>83</w:t>
      </w:r>
      <w:r w:rsidR="008C345D" w:rsidRPr="1C382D43">
        <w:rPr>
          <w:color w:val="000000" w:themeColor="text1"/>
        </w:rPr>
        <w:t>m</w:t>
      </w:r>
      <w:r w:rsidR="00E10EA0" w:rsidRPr="1C382D43">
        <w:rPr>
          <w:color w:val="000000" w:themeColor="text1"/>
        </w:rPr>
        <w:t>. The Equivalent Annual Net Direct Cost to Business (EANDCB) (2023 PV Base Year) is £0.0</w:t>
      </w:r>
      <w:r w:rsidR="00AF0611" w:rsidRPr="1C382D43">
        <w:rPr>
          <w:color w:val="000000" w:themeColor="text1"/>
        </w:rPr>
        <w:t>9</w:t>
      </w:r>
      <w:r w:rsidR="00E10EA0" w:rsidRPr="1C382D43">
        <w:rPr>
          <w:color w:val="000000" w:themeColor="text1"/>
        </w:rPr>
        <w:t>m</w:t>
      </w:r>
      <w:r w:rsidR="00C10BC8" w:rsidRPr="1C382D43">
        <w:rPr>
          <w:color w:val="000000" w:themeColor="text1"/>
        </w:rPr>
        <w:t>.</w:t>
      </w:r>
      <w:r w:rsidR="006C4CFA">
        <w:rPr>
          <w:color w:val="000000" w:themeColor="text1"/>
        </w:rPr>
        <w:t xml:space="preserve"> </w:t>
      </w:r>
      <w:r>
        <w:br/>
      </w:r>
    </w:p>
    <w:p w14:paraId="692F968E" w14:textId="68FBFFB1" w:rsidR="00624757" w:rsidRDefault="00DA16FF" w:rsidP="00E10B42">
      <w:pPr>
        <w:pStyle w:val="ListParagraph"/>
        <w:numPr>
          <w:ilvl w:val="0"/>
          <w:numId w:val="7"/>
        </w:numPr>
        <w:spacing w:before="240" w:after="60"/>
        <w:rPr>
          <w:color w:val="000000"/>
        </w:rPr>
      </w:pPr>
      <w:r w:rsidRPr="1C382D43">
        <w:rPr>
          <w:color w:val="000000" w:themeColor="text1"/>
        </w:rPr>
        <w:t xml:space="preserve">In 2019 prices, </w:t>
      </w:r>
      <w:r w:rsidR="00D34FBD" w:rsidRPr="1C382D43">
        <w:rPr>
          <w:color w:val="000000" w:themeColor="text1"/>
        </w:rPr>
        <w:t xml:space="preserve">the total estimated cost of Option 2 </w:t>
      </w:r>
      <w:r w:rsidR="001B3F62" w:rsidRPr="1C382D43">
        <w:rPr>
          <w:color w:val="000000" w:themeColor="text1"/>
        </w:rPr>
        <w:t xml:space="preserve">equates to </w:t>
      </w:r>
      <w:r w:rsidR="00C81702" w:rsidRPr="1C382D43">
        <w:rPr>
          <w:color w:val="000000" w:themeColor="text1"/>
        </w:rPr>
        <w:t>£0.</w:t>
      </w:r>
      <w:r w:rsidR="0072242B">
        <w:rPr>
          <w:color w:val="000000" w:themeColor="text1"/>
        </w:rPr>
        <w:t>74</w:t>
      </w:r>
      <w:r w:rsidR="00C81702" w:rsidRPr="1C382D43">
        <w:rPr>
          <w:color w:val="000000" w:themeColor="text1"/>
        </w:rPr>
        <w:t>m</w:t>
      </w:r>
      <w:r w:rsidR="00734762" w:rsidRPr="1C382D43">
        <w:rPr>
          <w:color w:val="000000" w:themeColor="text1"/>
        </w:rPr>
        <w:t>, with a P</w:t>
      </w:r>
      <w:r w:rsidR="00F31802" w:rsidRPr="1C382D43">
        <w:rPr>
          <w:color w:val="000000" w:themeColor="text1"/>
        </w:rPr>
        <w:t xml:space="preserve">resent </w:t>
      </w:r>
      <w:r w:rsidR="00734762" w:rsidRPr="1C382D43">
        <w:rPr>
          <w:color w:val="000000" w:themeColor="text1"/>
        </w:rPr>
        <w:t>V</w:t>
      </w:r>
      <w:r w:rsidR="00F31802" w:rsidRPr="1C382D43">
        <w:rPr>
          <w:color w:val="000000" w:themeColor="text1"/>
        </w:rPr>
        <w:t>alue</w:t>
      </w:r>
      <w:r w:rsidR="00734762" w:rsidRPr="1C382D43">
        <w:rPr>
          <w:color w:val="000000" w:themeColor="text1"/>
        </w:rPr>
        <w:t xml:space="preserve"> (2020 </w:t>
      </w:r>
      <w:r w:rsidR="00F31802" w:rsidRPr="1C382D43">
        <w:rPr>
          <w:color w:val="000000" w:themeColor="text1"/>
        </w:rPr>
        <w:t>PV</w:t>
      </w:r>
      <w:r w:rsidR="00734762" w:rsidRPr="1C382D43">
        <w:rPr>
          <w:color w:val="000000" w:themeColor="text1"/>
        </w:rPr>
        <w:t xml:space="preserve"> Base Year) over a ten-year period of £0.</w:t>
      </w:r>
      <w:r w:rsidR="00C35F99">
        <w:rPr>
          <w:color w:val="000000" w:themeColor="text1"/>
        </w:rPr>
        <w:t>6</w:t>
      </w:r>
      <w:r w:rsidR="00311E9E" w:rsidRPr="1C382D43">
        <w:rPr>
          <w:color w:val="000000" w:themeColor="text1"/>
        </w:rPr>
        <w:t>7</w:t>
      </w:r>
      <w:r w:rsidR="00800413" w:rsidRPr="1C382D43">
        <w:rPr>
          <w:color w:val="000000" w:themeColor="text1"/>
        </w:rPr>
        <w:t>m</w:t>
      </w:r>
      <w:r w:rsidR="002E6F33" w:rsidRPr="1C382D43">
        <w:rPr>
          <w:color w:val="000000" w:themeColor="text1"/>
        </w:rPr>
        <w:t xml:space="preserve">, of which </w:t>
      </w:r>
      <w:r w:rsidR="00EC4B12" w:rsidRPr="1C382D43">
        <w:rPr>
          <w:color w:val="000000" w:themeColor="text1"/>
        </w:rPr>
        <w:t>£0.61m fa</w:t>
      </w:r>
      <w:r w:rsidR="00D7466B" w:rsidRPr="1C382D43">
        <w:rPr>
          <w:color w:val="000000" w:themeColor="text1"/>
        </w:rPr>
        <w:t>ll on industry.</w:t>
      </w:r>
      <w:r w:rsidR="00C73F15" w:rsidRPr="1C382D43">
        <w:rPr>
          <w:color w:val="000000" w:themeColor="text1"/>
        </w:rPr>
        <w:t xml:space="preserve"> There are no monetised benefits for </w:t>
      </w:r>
      <w:r w:rsidR="00FB1A54" w:rsidRPr="1C382D43">
        <w:rPr>
          <w:color w:val="000000" w:themeColor="text1"/>
        </w:rPr>
        <w:t>Option 2, resulting in a net benefit of</w:t>
      </w:r>
      <w:r w:rsidR="00C26CE9" w:rsidRPr="1C382D43">
        <w:rPr>
          <w:color w:val="000000" w:themeColor="text1"/>
        </w:rPr>
        <w:t xml:space="preserve"> </w:t>
      </w:r>
      <w:r w:rsidR="0029269B">
        <w:rPr>
          <w:color w:val="000000" w:themeColor="text1"/>
        </w:rPr>
        <w:t xml:space="preserve">        </w:t>
      </w:r>
      <w:r w:rsidR="00436796" w:rsidRPr="1C382D43">
        <w:rPr>
          <w:color w:val="000000" w:themeColor="text1"/>
        </w:rPr>
        <w:t>-</w:t>
      </w:r>
      <w:r w:rsidR="0029269B">
        <w:rPr>
          <w:color w:val="000000" w:themeColor="text1"/>
        </w:rPr>
        <w:t>£</w:t>
      </w:r>
      <w:r w:rsidR="00436796" w:rsidRPr="1C382D43">
        <w:rPr>
          <w:color w:val="000000" w:themeColor="text1"/>
        </w:rPr>
        <w:t>0.</w:t>
      </w:r>
      <w:r w:rsidR="00B226B5">
        <w:rPr>
          <w:color w:val="000000" w:themeColor="text1"/>
        </w:rPr>
        <w:t>74</w:t>
      </w:r>
      <w:r w:rsidR="00436796" w:rsidRPr="1C382D43">
        <w:rPr>
          <w:color w:val="000000" w:themeColor="text1"/>
        </w:rPr>
        <w:t xml:space="preserve">m with a PV of </w:t>
      </w:r>
      <w:r w:rsidR="00930A78" w:rsidRPr="1C382D43">
        <w:rPr>
          <w:color w:val="000000" w:themeColor="text1"/>
        </w:rPr>
        <w:t>-£0.</w:t>
      </w:r>
      <w:r w:rsidR="00626D0B">
        <w:rPr>
          <w:color w:val="000000" w:themeColor="text1"/>
        </w:rPr>
        <w:t>67</w:t>
      </w:r>
      <w:r w:rsidR="00930A78" w:rsidRPr="1C382D43">
        <w:rPr>
          <w:color w:val="000000" w:themeColor="text1"/>
        </w:rPr>
        <w:t>m</w:t>
      </w:r>
      <w:r w:rsidR="006A0DC3" w:rsidRPr="1C382D43">
        <w:rPr>
          <w:color w:val="000000" w:themeColor="text1"/>
        </w:rPr>
        <w:t>.</w:t>
      </w:r>
      <w:r w:rsidR="00FB1A54" w:rsidRPr="1C382D43">
        <w:rPr>
          <w:color w:val="000000" w:themeColor="text1"/>
        </w:rPr>
        <w:t xml:space="preserve"> </w:t>
      </w:r>
      <w:r w:rsidR="006A0DC3" w:rsidRPr="1C382D43">
        <w:rPr>
          <w:color w:val="000000" w:themeColor="text1"/>
        </w:rPr>
        <w:t>The Equivalent Annual Net Direct Cost to Business (EANDCB) (202</w:t>
      </w:r>
      <w:r w:rsidR="002809E2" w:rsidRPr="1C382D43">
        <w:rPr>
          <w:color w:val="000000" w:themeColor="text1"/>
        </w:rPr>
        <w:t>0</w:t>
      </w:r>
      <w:r w:rsidR="006A0DC3" w:rsidRPr="1C382D43">
        <w:rPr>
          <w:color w:val="000000" w:themeColor="text1"/>
        </w:rPr>
        <w:t xml:space="preserve"> PV Base Year) is £</w:t>
      </w:r>
      <w:r w:rsidR="00B4799B" w:rsidRPr="1C382D43">
        <w:rPr>
          <w:color w:val="000000" w:themeColor="text1"/>
        </w:rPr>
        <w:t>0.07</w:t>
      </w:r>
      <w:r w:rsidR="006A0DC3" w:rsidRPr="1C382D43">
        <w:rPr>
          <w:color w:val="000000" w:themeColor="text1"/>
        </w:rPr>
        <w:t>m</w:t>
      </w:r>
      <w:r w:rsidR="00732B18" w:rsidRPr="1C382D43">
        <w:rPr>
          <w:color w:val="000000" w:themeColor="text1"/>
        </w:rPr>
        <w:t>.</w:t>
      </w:r>
    </w:p>
    <w:p w14:paraId="2A37A6F4" w14:textId="01BBB42A" w:rsidR="00524436" w:rsidRDefault="00524436" w:rsidP="00524436">
      <w:pPr>
        <w:tabs>
          <w:tab w:val="left" w:pos="7920"/>
        </w:tabs>
        <w:rPr>
          <w:b/>
          <w:sz w:val="22"/>
          <w:szCs w:val="22"/>
        </w:rPr>
      </w:pPr>
    </w:p>
    <w:p w14:paraId="18FB6F40" w14:textId="77777777" w:rsidR="003279BF" w:rsidRDefault="003279BF" w:rsidP="00524436">
      <w:pPr>
        <w:tabs>
          <w:tab w:val="left" w:pos="7920"/>
        </w:tabs>
        <w:rPr>
          <w:b/>
          <w:sz w:val="22"/>
          <w:szCs w:val="22"/>
        </w:rPr>
      </w:pPr>
    </w:p>
    <w:p w14:paraId="367F444A" w14:textId="77777777" w:rsidR="003279BF" w:rsidRDefault="003279BF" w:rsidP="00524436">
      <w:pPr>
        <w:pStyle w:val="Caption"/>
        <w:keepNext/>
        <w:keepLines/>
        <w:rPr>
          <w:rFonts w:eastAsia="Arial"/>
          <w:b/>
          <w:bCs/>
          <w:i w:val="0"/>
          <w:iCs w:val="0"/>
          <w:color w:val="auto"/>
          <w:sz w:val="24"/>
          <w:szCs w:val="24"/>
          <w:lang w:val="en-US"/>
        </w:rPr>
      </w:pPr>
    </w:p>
    <w:p w14:paraId="340CAC91" w14:textId="1DC555F4" w:rsidR="00524436" w:rsidRPr="0019618A" w:rsidRDefault="00524436" w:rsidP="00524436">
      <w:pPr>
        <w:pStyle w:val="Caption"/>
        <w:keepNext/>
        <w:keepLines/>
        <w:rPr>
          <w:rFonts w:eastAsia="Arial"/>
          <w:b/>
          <w:i w:val="0"/>
          <w:color w:val="auto"/>
          <w:sz w:val="24"/>
          <w:szCs w:val="24"/>
          <w:lang w:val="en-US"/>
        </w:rPr>
      </w:pPr>
      <w:r w:rsidRPr="0019618A">
        <w:rPr>
          <w:rFonts w:eastAsia="Arial"/>
          <w:b/>
          <w:bCs/>
          <w:i w:val="0"/>
          <w:iCs w:val="0"/>
          <w:color w:val="auto"/>
          <w:sz w:val="24"/>
          <w:szCs w:val="24"/>
          <w:lang w:val="en-US"/>
        </w:rPr>
        <w:t xml:space="preserve">Table </w:t>
      </w:r>
      <w:r w:rsidR="006A0A7E" w:rsidRPr="0019618A">
        <w:rPr>
          <w:rFonts w:eastAsia="Arial"/>
          <w:b/>
          <w:bCs/>
          <w:i w:val="0"/>
          <w:iCs w:val="0"/>
          <w:color w:val="auto"/>
          <w:sz w:val="24"/>
          <w:szCs w:val="24"/>
          <w:lang w:val="en-US"/>
        </w:rPr>
        <w:t>1</w:t>
      </w:r>
      <w:r w:rsidRPr="0019618A">
        <w:rPr>
          <w:rFonts w:eastAsia="Arial"/>
          <w:b/>
          <w:bCs/>
          <w:i w:val="0"/>
          <w:iCs w:val="0"/>
          <w:color w:val="auto"/>
          <w:sz w:val="24"/>
          <w:szCs w:val="24"/>
          <w:lang w:val="en-US"/>
        </w:rPr>
        <w:t xml:space="preserve"> - Estimated costs of Option 2 to </w:t>
      </w:r>
      <w:r w:rsidR="00501C10" w:rsidRPr="0019618A">
        <w:rPr>
          <w:rFonts w:eastAsia="Arial"/>
          <w:b/>
          <w:bCs/>
          <w:i w:val="0"/>
          <w:iCs w:val="0"/>
          <w:color w:val="auto"/>
          <w:sz w:val="24"/>
          <w:szCs w:val="24"/>
          <w:lang w:val="en-US"/>
        </w:rPr>
        <w:t>d</w:t>
      </w:r>
      <w:r w:rsidRPr="0019618A">
        <w:rPr>
          <w:rFonts w:eastAsia="Arial"/>
          <w:b/>
          <w:bCs/>
          <w:i w:val="0"/>
          <w:iCs w:val="0"/>
          <w:color w:val="auto"/>
          <w:sz w:val="24"/>
          <w:szCs w:val="24"/>
          <w:lang w:val="en-US"/>
        </w:rPr>
        <w:t xml:space="preserve">istrict </w:t>
      </w:r>
      <w:r w:rsidR="00501C10" w:rsidRPr="0019618A">
        <w:rPr>
          <w:rFonts w:eastAsia="Arial"/>
          <w:b/>
          <w:bCs/>
          <w:i w:val="0"/>
          <w:iCs w:val="0"/>
          <w:color w:val="auto"/>
          <w:sz w:val="24"/>
          <w:szCs w:val="24"/>
          <w:lang w:val="en-US"/>
        </w:rPr>
        <w:t>c</w:t>
      </w:r>
      <w:r w:rsidRPr="0019618A">
        <w:rPr>
          <w:rFonts w:eastAsia="Arial"/>
          <w:b/>
          <w:bCs/>
          <w:i w:val="0"/>
          <w:iCs w:val="0"/>
          <w:color w:val="auto"/>
          <w:sz w:val="24"/>
          <w:szCs w:val="24"/>
          <w:lang w:val="en-US"/>
        </w:rPr>
        <w:t>ouncils, rounded to £m</w:t>
      </w:r>
      <w:r w:rsidR="00C843FD" w:rsidRPr="0019618A">
        <w:rPr>
          <w:rStyle w:val="FootnoteReference"/>
          <w:rFonts w:eastAsia="Arial"/>
          <w:b/>
          <w:bCs/>
          <w:i w:val="0"/>
          <w:iCs w:val="0"/>
          <w:color w:val="auto"/>
          <w:sz w:val="24"/>
          <w:szCs w:val="24"/>
          <w:lang w:val="en-US"/>
        </w:rPr>
        <w:footnoteReference w:id="24"/>
      </w:r>
    </w:p>
    <w:tbl>
      <w:tblPr>
        <w:tblStyle w:val="TableGrid"/>
        <w:tblW w:w="5000" w:type="pct"/>
        <w:tblLayout w:type="fixed"/>
        <w:tblLook w:val="04A0" w:firstRow="1" w:lastRow="0" w:firstColumn="1" w:lastColumn="0" w:noHBand="0" w:noVBand="1"/>
      </w:tblPr>
      <w:tblGrid>
        <w:gridCol w:w="2537"/>
        <w:gridCol w:w="1509"/>
        <w:gridCol w:w="1508"/>
        <w:gridCol w:w="1508"/>
        <w:gridCol w:w="1508"/>
        <w:gridCol w:w="1500"/>
      </w:tblGrid>
      <w:tr w:rsidR="003279BF" w:rsidRPr="003279BF" w14:paraId="5DAFBD97" w14:textId="77777777" w:rsidTr="00950320">
        <w:tc>
          <w:tcPr>
            <w:tcW w:w="1259" w:type="pct"/>
            <w:shd w:val="clear" w:color="auto" w:fill="E2EFD9" w:themeFill="accent6" w:themeFillTint="33"/>
            <w:noWrap/>
            <w:hideMark/>
          </w:tcPr>
          <w:p w14:paraId="65450CEB" w14:textId="77777777" w:rsidR="00524436" w:rsidRPr="003279BF" w:rsidRDefault="00524436" w:rsidP="00850286">
            <w:pPr>
              <w:keepNext/>
              <w:keepLines/>
              <w:spacing w:before="40" w:after="40"/>
              <w:rPr>
                <w:rFonts w:asciiTheme="minorBidi" w:hAnsiTheme="minorBidi" w:cstheme="minorBidi"/>
                <w:b/>
                <w:bCs/>
                <w:szCs w:val="24"/>
              </w:rPr>
            </w:pPr>
            <w:r w:rsidRPr="003279BF">
              <w:rPr>
                <w:rFonts w:asciiTheme="minorBidi" w:hAnsiTheme="minorBidi" w:cstheme="minorBidi"/>
                <w:b/>
                <w:bCs/>
                <w:szCs w:val="24"/>
              </w:rPr>
              <w:t>District Councils</w:t>
            </w:r>
          </w:p>
        </w:tc>
        <w:tc>
          <w:tcPr>
            <w:tcW w:w="749" w:type="pct"/>
            <w:shd w:val="clear" w:color="auto" w:fill="E2EFD9" w:themeFill="accent6" w:themeFillTint="33"/>
            <w:noWrap/>
            <w:hideMark/>
          </w:tcPr>
          <w:p w14:paraId="250D6FD6" w14:textId="77777777" w:rsidR="00524436" w:rsidRPr="003279BF" w:rsidRDefault="00524436" w:rsidP="00850286">
            <w:pPr>
              <w:keepNext/>
              <w:keepLines/>
              <w:spacing w:before="40" w:after="40"/>
              <w:jc w:val="center"/>
              <w:rPr>
                <w:rFonts w:asciiTheme="minorBidi" w:hAnsiTheme="minorBidi" w:cstheme="minorBidi"/>
                <w:b/>
                <w:bCs/>
                <w:szCs w:val="24"/>
              </w:rPr>
            </w:pPr>
            <w:r w:rsidRPr="003279BF">
              <w:rPr>
                <w:rFonts w:asciiTheme="minorBidi" w:hAnsiTheme="minorBidi" w:cstheme="minorBidi"/>
                <w:b/>
                <w:bCs/>
                <w:szCs w:val="24"/>
              </w:rPr>
              <w:t xml:space="preserve">Total One-Off </w:t>
            </w:r>
          </w:p>
        </w:tc>
        <w:tc>
          <w:tcPr>
            <w:tcW w:w="749" w:type="pct"/>
            <w:shd w:val="clear" w:color="auto" w:fill="E2EFD9" w:themeFill="accent6" w:themeFillTint="33"/>
            <w:hideMark/>
          </w:tcPr>
          <w:p w14:paraId="0F881DC4" w14:textId="77777777" w:rsidR="00524436" w:rsidRPr="003279BF" w:rsidRDefault="00524436" w:rsidP="00850286">
            <w:pPr>
              <w:keepNext/>
              <w:keepLines/>
              <w:spacing w:before="40" w:after="40"/>
              <w:jc w:val="center"/>
              <w:rPr>
                <w:rFonts w:asciiTheme="minorBidi" w:hAnsiTheme="minorBidi" w:cstheme="minorBidi"/>
                <w:b/>
                <w:bCs/>
                <w:szCs w:val="24"/>
              </w:rPr>
            </w:pPr>
            <w:r w:rsidRPr="003279BF">
              <w:rPr>
                <w:rFonts w:asciiTheme="minorBidi" w:hAnsiTheme="minorBidi" w:cstheme="minorBidi"/>
                <w:b/>
                <w:bCs/>
                <w:szCs w:val="24"/>
              </w:rPr>
              <w:t xml:space="preserve">Total Recurring </w:t>
            </w:r>
          </w:p>
        </w:tc>
        <w:tc>
          <w:tcPr>
            <w:tcW w:w="749" w:type="pct"/>
            <w:shd w:val="clear" w:color="auto" w:fill="E2EFD9" w:themeFill="accent6" w:themeFillTint="33"/>
            <w:hideMark/>
          </w:tcPr>
          <w:p w14:paraId="73EAA471" w14:textId="77777777" w:rsidR="00524436" w:rsidRPr="003279BF" w:rsidRDefault="00524436" w:rsidP="00850286">
            <w:pPr>
              <w:keepNext/>
              <w:keepLines/>
              <w:spacing w:before="40" w:after="40"/>
              <w:jc w:val="center"/>
              <w:rPr>
                <w:rFonts w:asciiTheme="minorBidi" w:hAnsiTheme="minorBidi" w:cstheme="minorBidi"/>
                <w:b/>
                <w:bCs/>
                <w:szCs w:val="24"/>
              </w:rPr>
            </w:pPr>
            <w:r w:rsidRPr="003279BF">
              <w:rPr>
                <w:rFonts w:asciiTheme="minorBidi" w:hAnsiTheme="minorBidi" w:cstheme="minorBidi"/>
                <w:b/>
                <w:bCs/>
                <w:szCs w:val="24"/>
              </w:rPr>
              <w:t>Total</w:t>
            </w:r>
          </w:p>
        </w:tc>
        <w:tc>
          <w:tcPr>
            <w:tcW w:w="749" w:type="pct"/>
            <w:shd w:val="clear" w:color="auto" w:fill="E2EFD9" w:themeFill="accent6" w:themeFillTint="33"/>
            <w:hideMark/>
          </w:tcPr>
          <w:p w14:paraId="0BB384C1" w14:textId="78FC4E67" w:rsidR="00524436" w:rsidRPr="003279BF" w:rsidRDefault="00524436" w:rsidP="00850286">
            <w:pPr>
              <w:keepNext/>
              <w:keepLines/>
              <w:spacing w:before="40" w:after="40"/>
              <w:jc w:val="center"/>
              <w:rPr>
                <w:rFonts w:asciiTheme="minorBidi" w:hAnsiTheme="minorBidi" w:cstheme="minorBidi"/>
                <w:b/>
                <w:bCs/>
                <w:szCs w:val="24"/>
              </w:rPr>
            </w:pPr>
            <w:r w:rsidRPr="003279BF">
              <w:rPr>
                <w:rFonts w:asciiTheme="minorBidi" w:hAnsiTheme="minorBidi" w:cstheme="minorBidi"/>
                <w:b/>
                <w:bCs/>
                <w:szCs w:val="24"/>
              </w:rPr>
              <w:t>PV (2023 Base Year)</w:t>
            </w:r>
            <w:r w:rsidR="00300B5C" w:rsidRPr="003279BF">
              <w:rPr>
                <w:rFonts w:asciiTheme="minorBidi" w:hAnsiTheme="minorBidi" w:cstheme="minorBidi"/>
                <w:b/>
                <w:bCs/>
                <w:szCs w:val="24"/>
              </w:rPr>
              <w:t xml:space="preserve"> Total</w:t>
            </w:r>
          </w:p>
        </w:tc>
        <w:tc>
          <w:tcPr>
            <w:tcW w:w="746" w:type="pct"/>
            <w:shd w:val="clear" w:color="auto" w:fill="E2EFD9" w:themeFill="accent6" w:themeFillTint="33"/>
            <w:hideMark/>
          </w:tcPr>
          <w:p w14:paraId="00F8A3C7" w14:textId="77777777" w:rsidR="00524436" w:rsidRPr="003279BF" w:rsidRDefault="00524436" w:rsidP="00850286">
            <w:pPr>
              <w:keepNext/>
              <w:keepLines/>
              <w:spacing w:before="40" w:after="40"/>
              <w:jc w:val="center"/>
              <w:rPr>
                <w:rFonts w:asciiTheme="minorBidi" w:hAnsiTheme="minorBidi" w:cstheme="minorBidi"/>
                <w:b/>
                <w:bCs/>
                <w:szCs w:val="24"/>
              </w:rPr>
            </w:pPr>
            <w:r w:rsidRPr="003279BF">
              <w:rPr>
                <w:rFonts w:asciiTheme="minorBidi" w:hAnsiTheme="minorBidi" w:cstheme="minorBidi"/>
                <w:b/>
                <w:bCs/>
                <w:szCs w:val="24"/>
              </w:rPr>
              <w:t>Annual Equivalent</w:t>
            </w:r>
          </w:p>
        </w:tc>
      </w:tr>
      <w:tr w:rsidR="002940F2" w:rsidRPr="00EF0BA9" w14:paraId="212F292B" w14:textId="77777777" w:rsidTr="003279BF">
        <w:tc>
          <w:tcPr>
            <w:tcW w:w="1259" w:type="pct"/>
            <w:noWrap/>
            <w:hideMark/>
          </w:tcPr>
          <w:p w14:paraId="3A0941D1" w14:textId="388C87AA" w:rsidR="002940F2" w:rsidRPr="001C2DEB" w:rsidRDefault="002940F2" w:rsidP="002940F2">
            <w:pPr>
              <w:spacing w:before="40" w:after="40"/>
              <w:rPr>
                <w:rFonts w:asciiTheme="minorBidi" w:hAnsiTheme="minorBidi" w:cstheme="minorBidi"/>
                <w:b/>
                <w:bCs/>
                <w:color w:val="000000"/>
                <w:szCs w:val="24"/>
              </w:rPr>
            </w:pPr>
            <w:r w:rsidRPr="001C2DEB">
              <w:rPr>
                <w:rFonts w:asciiTheme="minorBidi" w:hAnsiTheme="minorBidi" w:cstheme="minorBidi"/>
                <w:b/>
                <w:bCs/>
                <w:color w:val="000000"/>
                <w:szCs w:val="24"/>
              </w:rPr>
              <w:t>Familiarisation</w:t>
            </w:r>
            <w:r w:rsidR="00C454B0" w:rsidRPr="001C2DEB">
              <w:rPr>
                <w:rStyle w:val="FootnoteReference"/>
                <w:rFonts w:asciiTheme="minorBidi" w:hAnsiTheme="minorBidi"/>
                <w:b/>
                <w:bCs/>
                <w:color w:val="000000"/>
                <w:sz w:val="24"/>
                <w:szCs w:val="24"/>
              </w:rPr>
              <w:footnoteReference w:id="25"/>
            </w:r>
          </w:p>
        </w:tc>
        <w:tc>
          <w:tcPr>
            <w:tcW w:w="749" w:type="pct"/>
            <w:noWrap/>
            <w:hideMark/>
          </w:tcPr>
          <w:p w14:paraId="102ECCD0" w14:textId="27287562"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Pr="001C2DEB">
              <w:rPr>
                <w:b/>
                <w:bCs/>
                <w:color w:val="000000"/>
                <w:szCs w:val="24"/>
              </w:rPr>
              <w:t>00</w:t>
            </w:r>
          </w:p>
        </w:tc>
        <w:tc>
          <w:tcPr>
            <w:tcW w:w="749" w:type="pct"/>
            <w:noWrap/>
            <w:hideMark/>
          </w:tcPr>
          <w:p w14:paraId="6E7411E4" w14:textId="5C32396B"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Pr="001C2DEB">
              <w:rPr>
                <w:b/>
                <w:bCs/>
                <w:color w:val="000000"/>
                <w:szCs w:val="24"/>
              </w:rPr>
              <w:t>00</w:t>
            </w:r>
          </w:p>
        </w:tc>
        <w:tc>
          <w:tcPr>
            <w:tcW w:w="749" w:type="pct"/>
            <w:noWrap/>
            <w:hideMark/>
          </w:tcPr>
          <w:p w14:paraId="75DF38DB" w14:textId="229B8FAA"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Pr="001C2DEB">
              <w:rPr>
                <w:b/>
                <w:bCs/>
                <w:color w:val="000000"/>
                <w:szCs w:val="24"/>
              </w:rPr>
              <w:t>00</w:t>
            </w:r>
          </w:p>
        </w:tc>
        <w:tc>
          <w:tcPr>
            <w:tcW w:w="749" w:type="pct"/>
            <w:noWrap/>
            <w:hideMark/>
          </w:tcPr>
          <w:p w14:paraId="0F953275" w14:textId="3DB55552"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Pr="001C2DEB">
              <w:rPr>
                <w:b/>
                <w:bCs/>
                <w:color w:val="000000"/>
                <w:szCs w:val="24"/>
              </w:rPr>
              <w:t>00</w:t>
            </w:r>
          </w:p>
        </w:tc>
        <w:tc>
          <w:tcPr>
            <w:tcW w:w="746" w:type="pct"/>
            <w:noWrap/>
            <w:hideMark/>
          </w:tcPr>
          <w:p w14:paraId="69BD6095" w14:textId="079441DF"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Pr="001C2DEB">
              <w:rPr>
                <w:b/>
                <w:bCs/>
                <w:color w:val="000000"/>
                <w:szCs w:val="24"/>
              </w:rPr>
              <w:t>00</w:t>
            </w:r>
          </w:p>
        </w:tc>
      </w:tr>
      <w:tr w:rsidR="002940F2" w:rsidRPr="00EF0BA9" w14:paraId="3B560DD6" w14:textId="77777777" w:rsidTr="003279BF">
        <w:tc>
          <w:tcPr>
            <w:tcW w:w="1259" w:type="pct"/>
            <w:noWrap/>
            <w:hideMark/>
          </w:tcPr>
          <w:p w14:paraId="294B25D2" w14:textId="1C7065C0" w:rsidR="002940F2" w:rsidRPr="001C2DEB" w:rsidRDefault="002940F2" w:rsidP="002940F2">
            <w:pPr>
              <w:spacing w:before="40" w:after="40"/>
              <w:rPr>
                <w:rFonts w:asciiTheme="minorBidi" w:hAnsiTheme="minorBidi" w:cstheme="minorBidi"/>
                <w:b/>
                <w:bCs/>
                <w:color w:val="000000"/>
                <w:szCs w:val="24"/>
              </w:rPr>
            </w:pPr>
            <w:r w:rsidRPr="001C2DEB">
              <w:rPr>
                <w:rFonts w:asciiTheme="minorBidi" w:hAnsiTheme="minorBidi" w:cstheme="minorBidi"/>
                <w:b/>
                <w:bCs/>
                <w:color w:val="000000"/>
                <w:szCs w:val="24"/>
              </w:rPr>
              <w:t>Additional Monitoring</w:t>
            </w:r>
            <w:r w:rsidR="005224BA">
              <w:rPr>
                <w:rStyle w:val="FootnoteReference"/>
                <w:rFonts w:asciiTheme="minorBidi" w:hAnsiTheme="minorBidi"/>
                <w:b/>
                <w:bCs/>
                <w:color w:val="000000"/>
                <w:szCs w:val="24"/>
              </w:rPr>
              <w:footnoteReference w:id="26"/>
            </w:r>
          </w:p>
        </w:tc>
        <w:tc>
          <w:tcPr>
            <w:tcW w:w="749" w:type="pct"/>
            <w:noWrap/>
            <w:hideMark/>
          </w:tcPr>
          <w:p w14:paraId="42F6C2E7" w14:textId="268D21CA"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Pr="001C2DEB">
              <w:rPr>
                <w:b/>
                <w:bCs/>
                <w:color w:val="000000"/>
                <w:szCs w:val="24"/>
              </w:rPr>
              <w:t>0</w:t>
            </w:r>
            <w:r w:rsidR="00626D0B">
              <w:rPr>
                <w:b/>
                <w:bCs/>
                <w:color w:val="000000"/>
                <w:szCs w:val="24"/>
              </w:rPr>
              <w:t>0</w:t>
            </w:r>
          </w:p>
        </w:tc>
        <w:tc>
          <w:tcPr>
            <w:tcW w:w="749" w:type="pct"/>
            <w:noWrap/>
            <w:hideMark/>
          </w:tcPr>
          <w:p w14:paraId="0F9FFB0D" w14:textId="0F55F8DC"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00626D0B">
              <w:rPr>
                <w:b/>
                <w:bCs/>
                <w:color w:val="000000"/>
                <w:szCs w:val="24"/>
              </w:rPr>
              <w:t>00</w:t>
            </w:r>
          </w:p>
        </w:tc>
        <w:tc>
          <w:tcPr>
            <w:tcW w:w="749" w:type="pct"/>
            <w:noWrap/>
            <w:hideMark/>
          </w:tcPr>
          <w:p w14:paraId="076EE11E" w14:textId="7038C56B"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00626D0B">
              <w:rPr>
                <w:b/>
                <w:bCs/>
                <w:color w:val="000000"/>
                <w:szCs w:val="24"/>
              </w:rPr>
              <w:t>00</w:t>
            </w:r>
          </w:p>
        </w:tc>
        <w:tc>
          <w:tcPr>
            <w:tcW w:w="749" w:type="pct"/>
            <w:noWrap/>
            <w:hideMark/>
          </w:tcPr>
          <w:p w14:paraId="43BEE2A3" w14:textId="4CFA8E3C"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005224BA">
              <w:rPr>
                <w:b/>
                <w:bCs/>
                <w:color w:val="000000"/>
                <w:szCs w:val="24"/>
              </w:rPr>
              <w:t>00</w:t>
            </w:r>
          </w:p>
        </w:tc>
        <w:tc>
          <w:tcPr>
            <w:tcW w:w="746" w:type="pct"/>
            <w:noWrap/>
            <w:hideMark/>
          </w:tcPr>
          <w:p w14:paraId="0D095D89" w14:textId="432F7115"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Pr="001C2DEB">
              <w:rPr>
                <w:b/>
                <w:bCs/>
                <w:color w:val="000000"/>
                <w:szCs w:val="24"/>
              </w:rPr>
              <w:t>0</w:t>
            </w:r>
            <w:r w:rsidR="005224BA">
              <w:rPr>
                <w:b/>
                <w:bCs/>
                <w:color w:val="000000"/>
                <w:szCs w:val="24"/>
              </w:rPr>
              <w:t>0</w:t>
            </w:r>
          </w:p>
        </w:tc>
      </w:tr>
      <w:tr w:rsidR="002940F2" w:rsidRPr="00EF0BA9" w14:paraId="0B919562" w14:textId="77777777" w:rsidTr="003279BF">
        <w:tc>
          <w:tcPr>
            <w:tcW w:w="1259" w:type="pct"/>
            <w:noWrap/>
            <w:hideMark/>
          </w:tcPr>
          <w:p w14:paraId="6F5DA601" w14:textId="77777777" w:rsidR="002940F2" w:rsidRPr="001C2DEB" w:rsidRDefault="002940F2" w:rsidP="002940F2">
            <w:pPr>
              <w:spacing w:before="40" w:after="40"/>
              <w:rPr>
                <w:rFonts w:asciiTheme="minorBidi" w:hAnsiTheme="minorBidi" w:cstheme="minorBidi"/>
                <w:b/>
                <w:bCs/>
                <w:color w:val="000000"/>
                <w:szCs w:val="24"/>
              </w:rPr>
            </w:pPr>
            <w:r w:rsidRPr="001C2DEB">
              <w:rPr>
                <w:rFonts w:asciiTheme="minorBidi" w:hAnsiTheme="minorBidi" w:cstheme="minorBidi"/>
                <w:b/>
                <w:bCs/>
                <w:color w:val="000000"/>
                <w:szCs w:val="24"/>
              </w:rPr>
              <w:t>Additional Enquiries</w:t>
            </w:r>
          </w:p>
        </w:tc>
        <w:tc>
          <w:tcPr>
            <w:tcW w:w="749" w:type="pct"/>
            <w:noWrap/>
            <w:hideMark/>
          </w:tcPr>
          <w:p w14:paraId="76B65757" w14:textId="58EC0BA8"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Pr="001C2DEB">
              <w:rPr>
                <w:b/>
                <w:bCs/>
                <w:color w:val="000000"/>
                <w:szCs w:val="24"/>
              </w:rPr>
              <w:t>02</w:t>
            </w:r>
          </w:p>
        </w:tc>
        <w:tc>
          <w:tcPr>
            <w:tcW w:w="749" w:type="pct"/>
            <w:noWrap/>
            <w:hideMark/>
          </w:tcPr>
          <w:p w14:paraId="4C41A2DC" w14:textId="17F01542"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Pr="001C2DEB">
              <w:rPr>
                <w:b/>
                <w:bCs/>
                <w:color w:val="000000"/>
                <w:szCs w:val="24"/>
              </w:rPr>
              <w:t>00</w:t>
            </w:r>
          </w:p>
        </w:tc>
        <w:tc>
          <w:tcPr>
            <w:tcW w:w="749" w:type="pct"/>
            <w:noWrap/>
            <w:hideMark/>
          </w:tcPr>
          <w:p w14:paraId="0D11AE50" w14:textId="54BD5ECC"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Pr="001C2DEB">
              <w:rPr>
                <w:b/>
                <w:bCs/>
                <w:color w:val="000000"/>
                <w:szCs w:val="24"/>
              </w:rPr>
              <w:t>02</w:t>
            </w:r>
          </w:p>
        </w:tc>
        <w:tc>
          <w:tcPr>
            <w:tcW w:w="749" w:type="pct"/>
            <w:noWrap/>
            <w:hideMark/>
          </w:tcPr>
          <w:p w14:paraId="7A58E51D" w14:textId="0F8013CE"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Pr="001C2DEB">
              <w:rPr>
                <w:b/>
                <w:bCs/>
                <w:color w:val="000000"/>
                <w:szCs w:val="24"/>
              </w:rPr>
              <w:t>02</w:t>
            </w:r>
          </w:p>
        </w:tc>
        <w:tc>
          <w:tcPr>
            <w:tcW w:w="746" w:type="pct"/>
            <w:noWrap/>
            <w:hideMark/>
          </w:tcPr>
          <w:p w14:paraId="3F5A7043" w14:textId="18C687B6" w:rsidR="002940F2" w:rsidRPr="001C2DEB" w:rsidRDefault="002940F2" w:rsidP="002940F2">
            <w:pPr>
              <w:spacing w:before="40" w:after="40"/>
              <w:jc w:val="center"/>
              <w:rPr>
                <w:rFonts w:asciiTheme="minorBidi" w:hAnsiTheme="minorBidi" w:cstheme="minorBidi"/>
                <w:b/>
                <w:bCs/>
                <w:color w:val="000000"/>
                <w:szCs w:val="24"/>
              </w:rPr>
            </w:pPr>
            <w:r w:rsidRPr="001C2DEB">
              <w:rPr>
                <w:b/>
                <w:color w:val="000000"/>
                <w:szCs w:val="24"/>
              </w:rPr>
              <w:t>0.</w:t>
            </w:r>
            <w:r w:rsidRPr="001C2DEB">
              <w:rPr>
                <w:b/>
                <w:bCs/>
                <w:color w:val="000000"/>
                <w:szCs w:val="24"/>
              </w:rPr>
              <w:t>00</w:t>
            </w:r>
          </w:p>
        </w:tc>
      </w:tr>
      <w:tr w:rsidR="002940F2" w:rsidRPr="00EF0BA9" w14:paraId="663A0D30" w14:textId="77777777" w:rsidTr="003279BF">
        <w:tc>
          <w:tcPr>
            <w:tcW w:w="1259" w:type="pct"/>
            <w:noWrap/>
            <w:hideMark/>
          </w:tcPr>
          <w:p w14:paraId="6B1C7850" w14:textId="77777777" w:rsidR="002940F2" w:rsidRPr="001C2DEB" w:rsidRDefault="002940F2" w:rsidP="002940F2">
            <w:pPr>
              <w:spacing w:before="40" w:after="40"/>
              <w:rPr>
                <w:rFonts w:asciiTheme="minorBidi" w:hAnsiTheme="minorBidi" w:cstheme="minorBidi"/>
                <w:b/>
                <w:color w:val="000000"/>
                <w:szCs w:val="24"/>
              </w:rPr>
            </w:pPr>
            <w:r w:rsidRPr="001C2DEB">
              <w:rPr>
                <w:rFonts w:asciiTheme="minorBidi" w:hAnsiTheme="minorBidi" w:cstheme="minorBidi"/>
                <w:b/>
                <w:bCs/>
                <w:color w:val="000000"/>
                <w:szCs w:val="24"/>
              </w:rPr>
              <w:t>Informing Businesses</w:t>
            </w:r>
          </w:p>
        </w:tc>
        <w:tc>
          <w:tcPr>
            <w:tcW w:w="749" w:type="pct"/>
            <w:noWrap/>
            <w:hideMark/>
          </w:tcPr>
          <w:p w14:paraId="3E40793E" w14:textId="7730D23F" w:rsidR="002940F2" w:rsidRPr="001C2DEB" w:rsidRDefault="002940F2" w:rsidP="002940F2">
            <w:pPr>
              <w:spacing w:before="40" w:after="40"/>
              <w:jc w:val="center"/>
              <w:rPr>
                <w:rFonts w:asciiTheme="minorBidi" w:hAnsiTheme="minorBidi" w:cstheme="minorBidi"/>
                <w:b/>
                <w:color w:val="000000"/>
                <w:szCs w:val="24"/>
              </w:rPr>
            </w:pPr>
            <w:r w:rsidRPr="001C2DEB">
              <w:rPr>
                <w:b/>
                <w:color w:val="000000"/>
                <w:szCs w:val="24"/>
              </w:rPr>
              <w:t>0.</w:t>
            </w:r>
            <w:r w:rsidRPr="001C2DEB">
              <w:rPr>
                <w:b/>
                <w:bCs/>
                <w:color w:val="000000"/>
                <w:szCs w:val="24"/>
              </w:rPr>
              <w:t>03</w:t>
            </w:r>
          </w:p>
        </w:tc>
        <w:tc>
          <w:tcPr>
            <w:tcW w:w="749" w:type="pct"/>
            <w:noWrap/>
            <w:hideMark/>
          </w:tcPr>
          <w:p w14:paraId="4A7813D1" w14:textId="0D4349C9" w:rsidR="002940F2" w:rsidRPr="001C2DEB" w:rsidRDefault="002940F2" w:rsidP="002940F2">
            <w:pPr>
              <w:spacing w:before="40" w:after="40"/>
              <w:jc w:val="center"/>
              <w:rPr>
                <w:rFonts w:asciiTheme="minorBidi" w:hAnsiTheme="minorBidi" w:cstheme="minorBidi"/>
                <w:b/>
                <w:color w:val="000000"/>
                <w:szCs w:val="24"/>
              </w:rPr>
            </w:pPr>
            <w:r w:rsidRPr="001C2DEB">
              <w:rPr>
                <w:b/>
                <w:color w:val="000000"/>
                <w:szCs w:val="24"/>
              </w:rPr>
              <w:t>0.</w:t>
            </w:r>
            <w:r w:rsidRPr="001C2DEB">
              <w:rPr>
                <w:b/>
                <w:bCs/>
                <w:color w:val="000000"/>
                <w:szCs w:val="24"/>
              </w:rPr>
              <w:t>00</w:t>
            </w:r>
          </w:p>
        </w:tc>
        <w:tc>
          <w:tcPr>
            <w:tcW w:w="749" w:type="pct"/>
            <w:noWrap/>
            <w:hideMark/>
          </w:tcPr>
          <w:p w14:paraId="7B9D2006" w14:textId="3480BF1E" w:rsidR="002940F2" w:rsidRPr="001C2DEB" w:rsidRDefault="002940F2" w:rsidP="002940F2">
            <w:pPr>
              <w:spacing w:before="40" w:after="40"/>
              <w:jc w:val="center"/>
              <w:rPr>
                <w:rFonts w:asciiTheme="minorBidi" w:hAnsiTheme="minorBidi" w:cstheme="minorBidi"/>
                <w:b/>
                <w:color w:val="000000"/>
                <w:szCs w:val="24"/>
              </w:rPr>
            </w:pPr>
            <w:r w:rsidRPr="001C2DEB">
              <w:rPr>
                <w:b/>
                <w:color w:val="000000"/>
                <w:szCs w:val="24"/>
              </w:rPr>
              <w:t>0.</w:t>
            </w:r>
            <w:r w:rsidRPr="001C2DEB">
              <w:rPr>
                <w:b/>
                <w:bCs/>
                <w:color w:val="000000"/>
                <w:szCs w:val="24"/>
              </w:rPr>
              <w:t>03</w:t>
            </w:r>
          </w:p>
        </w:tc>
        <w:tc>
          <w:tcPr>
            <w:tcW w:w="749" w:type="pct"/>
            <w:noWrap/>
            <w:hideMark/>
          </w:tcPr>
          <w:p w14:paraId="55E283FC" w14:textId="1CA1D6E1" w:rsidR="002940F2" w:rsidRPr="001C2DEB" w:rsidRDefault="002940F2" w:rsidP="002940F2">
            <w:pPr>
              <w:spacing w:before="40" w:after="40"/>
              <w:jc w:val="center"/>
              <w:rPr>
                <w:rFonts w:asciiTheme="minorBidi" w:hAnsiTheme="minorBidi" w:cstheme="minorBidi"/>
                <w:b/>
                <w:color w:val="000000"/>
                <w:szCs w:val="24"/>
              </w:rPr>
            </w:pPr>
            <w:r w:rsidRPr="001C2DEB">
              <w:rPr>
                <w:b/>
                <w:color w:val="000000"/>
                <w:szCs w:val="24"/>
              </w:rPr>
              <w:t>0.</w:t>
            </w:r>
            <w:r w:rsidRPr="001C2DEB">
              <w:rPr>
                <w:b/>
                <w:bCs/>
                <w:color w:val="000000"/>
                <w:szCs w:val="24"/>
              </w:rPr>
              <w:t>03</w:t>
            </w:r>
          </w:p>
        </w:tc>
        <w:tc>
          <w:tcPr>
            <w:tcW w:w="746" w:type="pct"/>
            <w:noWrap/>
            <w:hideMark/>
          </w:tcPr>
          <w:p w14:paraId="6DEE337C" w14:textId="189FEF11" w:rsidR="002940F2" w:rsidRPr="001C2DEB" w:rsidRDefault="002940F2" w:rsidP="002940F2">
            <w:pPr>
              <w:spacing w:before="40" w:after="40"/>
              <w:jc w:val="center"/>
              <w:rPr>
                <w:rFonts w:asciiTheme="minorBidi" w:hAnsiTheme="minorBidi" w:cstheme="minorBidi"/>
                <w:b/>
                <w:color w:val="000000"/>
                <w:szCs w:val="24"/>
              </w:rPr>
            </w:pPr>
            <w:r w:rsidRPr="001C2DEB">
              <w:rPr>
                <w:b/>
                <w:color w:val="000000"/>
                <w:szCs w:val="24"/>
              </w:rPr>
              <w:t>0.</w:t>
            </w:r>
            <w:r w:rsidRPr="001C2DEB">
              <w:rPr>
                <w:b/>
                <w:bCs/>
                <w:color w:val="000000"/>
                <w:szCs w:val="24"/>
              </w:rPr>
              <w:t>00</w:t>
            </w:r>
          </w:p>
        </w:tc>
      </w:tr>
      <w:tr w:rsidR="002940F2" w:rsidRPr="00EF0BA9" w14:paraId="07C8B013" w14:textId="77777777" w:rsidTr="003279BF">
        <w:tc>
          <w:tcPr>
            <w:tcW w:w="1259" w:type="pct"/>
            <w:noWrap/>
          </w:tcPr>
          <w:p w14:paraId="481C4539" w14:textId="48F4715A" w:rsidR="002940F2" w:rsidRPr="001C2DEB" w:rsidRDefault="002940F2" w:rsidP="002940F2">
            <w:pPr>
              <w:spacing w:before="40" w:after="40"/>
              <w:rPr>
                <w:rFonts w:asciiTheme="minorBidi" w:hAnsiTheme="minorBidi" w:cstheme="minorBidi"/>
                <w:b/>
                <w:bCs/>
                <w:color w:val="000000"/>
                <w:szCs w:val="24"/>
              </w:rPr>
            </w:pPr>
            <w:r w:rsidRPr="001C2DEB">
              <w:rPr>
                <w:rFonts w:asciiTheme="minorBidi" w:hAnsiTheme="minorBidi" w:cstheme="minorBidi"/>
                <w:b/>
                <w:bCs/>
                <w:color w:val="000000"/>
                <w:szCs w:val="24"/>
              </w:rPr>
              <w:t>IT Costs</w:t>
            </w:r>
          </w:p>
        </w:tc>
        <w:tc>
          <w:tcPr>
            <w:tcW w:w="749" w:type="pct"/>
            <w:noWrap/>
          </w:tcPr>
          <w:p w14:paraId="7F9882F4" w14:textId="4AA3289B" w:rsidR="002940F2" w:rsidRPr="001C2DEB" w:rsidRDefault="002940F2" w:rsidP="002940F2">
            <w:pPr>
              <w:spacing w:before="40" w:after="40"/>
              <w:jc w:val="center"/>
              <w:rPr>
                <w:b/>
                <w:color w:val="000000"/>
                <w:szCs w:val="24"/>
              </w:rPr>
            </w:pPr>
            <w:r w:rsidRPr="001C2DEB">
              <w:rPr>
                <w:b/>
                <w:bCs/>
                <w:color w:val="000000"/>
                <w:szCs w:val="24"/>
              </w:rPr>
              <w:t>0.01</w:t>
            </w:r>
          </w:p>
        </w:tc>
        <w:tc>
          <w:tcPr>
            <w:tcW w:w="749" w:type="pct"/>
            <w:noWrap/>
          </w:tcPr>
          <w:p w14:paraId="18E4D662" w14:textId="7059A7F2" w:rsidR="002940F2" w:rsidRPr="001C2DEB" w:rsidRDefault="002940F2" w:rsidP="002940F2">
            <w:pPr>
              <w:spacing w:before="40" w:after="40"/>
              <w:jc w:val="center"/>
              <w:rPr>
                <w:b/>
                <w:color w:val="000000"/>
                <w:szCs w:val="24"/>
              </w:rPr>
            </w:pPr>
            <w:r w:rsidRPr="001C2DEB">
              <w:rPr>
                <w:b/>
                <w:bCs/>
                <w:color w:val="000000"/>
                <w:szCs w:val="24"/>
              </w:rPr>
              <w:t>0.00</w:t>
            </w:r>
          </w:p>
        </w:tc>
        <w:tc>
          <w:tcPr>
            <w:tcW w:w="749" w:type="pct"/>
            <w:noWrap/>
          </w:tcPr>
          <w:p w14:paraId="1E013E4D" w14:textId="3A8CEB25" w:rsidR="002940F2" w:rsidRPr="001C2DEB" w:rsidRDefault="002940F2" w:rsidP="002940F2">
            <w:pPr>
              <w:spacing w:before="40" w:after="40"/>
              <w:jc w:val="center"/>
              <w:rPr>
                <w:b/>
                <w:color w:val="000000"/>
                <w:szCs w:val="24"/>
              </w:rPr>
            </w:pPr>
            <w:r w:rsidRPr="001C2DEB">
              <w:rPr>
                <w:b/>
                <w:bCs/>
                <w:color w:val="000000"/>
                <w:szCs w:val="24"/>
              </w:rPr>
              <w:t>0.01</w:t>
            </w:r>
          </w:p>
        </w:tc>
        <w:tc>
          <w:tcPr>
            <w:tcW w:w="749" w:type="pct"/>
            <w:noWrap/>
          </w:tcPr>
          <w:p w14:paraId="30BFDB80" w14:textId="4B25CA93" w:rsidR="002940F2" w:rsidRPr="001C2DEB" w:rsidRDefault="002940F2" w:rsidP="002940F2">
            <w:pPr>
              <w:spacing w:before="40" w:after="40"/>
              <w:jc w:val="center"/>
              <w:rPr>
                <w:b/>
                <w:color w:val="000000"/>
                <w:szCs w:val="24"/>
              </w:rPr>
            </w:pPr>
            <w:r w:rsidRPr="001C2DEB">
              <w:rPr>
                <w:b/>
                <w:bCs/>
                <w:color w:val="000000"/>
                <w:szCs w:val="24"/>
              </w:rPr>
              <w:t>0.01</w:t>
            </w:r>
          </w:p>
        </w:tc>
        <w:tc>
          <w:tcPr>
            <w:tcW w:w="746" w:type="pct"/>
            <w:noWrap/>
          </w:tcPr>
          <w:p w14:paraId="4B549AEF" w14:textId="03D944F8" w:rsidR="002940F2" w:rsidRPr="001C2DEB" w:rsidRDefault="002940F2" w:rsidP="002940F2">
            <w:pPr>
              <w:spacing w:before="40" w:after="40"/>
              <w:jc w:val="center"/>
              <w:rPr>
                <w:b/>
                <w:color w:val="000000"/>
                <w:szCs w:val="24"/>
              </w:rPr>
            </w:pPr>
            <w:r w:rsidRPr="001C2DEB">
              <w:rPr>
                <w:b/>
                <w:bCs/>
                <w:color w:val="000000"/>
                <w:szCs w:val="24"/>
              </w:rPr>
              <w:t>0.00</w:t>
            </w:r>
          </w:p>
        </w:tc>
      </w:tr>
      <w:tr w:rsidR="00394718" w:rsidRPr="00EF0BA9" w14:paraId="1249D94B" w14:textId="77777777" w:rsidTr="003279BF">
        <w:tc>
          <w:tcPr>
            <w:tcW w:w="1259" w:type="pct"/>
            <w:noWrap/>
            <w:hideMark/>
          </w:tcPr>
          <w:p w14:paraId="5C18CF11" w14:textId="6076380E" w:rsidR="00394718" w:rsidRPr="001C2DEB" w:rsidRDefault="00394718" w:rsidP="00394718">
            <w:pPr>
              <w:spacing w:before="40" w:after="40"/>
              <w:rPr>
                <w:rFonts w:asciiTheme="minorBidi" w:hAnsiTheme="minorBidi" w:cstheme="minorBidi"/>
                <w:b/>
                <w:bCs/>
                <w:color w:val="000000"/>
                <w:szCs w:val="24"/>
              </w:rPr>
            </w:pPr>
            <w:r w:rsidRPr="001C2DEB">
              <w:rPr>
                <w:rFonts w:asciiTheme="minorBidi" w:hAnsiTheme="minorBidi" w:cstheme="minorBidi"/>
                <w:b/>
                <w:bCs/>
                <w:color w:val="000000"/>
                <w:szCs w:val="24"/>
              </w:rPr>
              <w:t xml:space="preserve">Total costs </w:t>
            </w:r>
            <w:r w:rsidR="00501C10" w:rsidRPr="001C2DEB">
              <w:rPr>
                <w:rFonts w:asciiTheme="minorBidi" w:hAnsiTheme="minorBidi" w:cstheme="minorBidi"/>
                <w:b/>
                <w:bCs/>
                <w:color w:val="000000"/>
                <w:szCs w:val="24"/>
              </w:rPr>
              <w:t>d</w:t>
            </w:r>
            <w:r w:rsidRPr="001C2DEB">
              <w:rPr>
                <w:rFonts w:asciiTheme="minorBidi" w:hAnsiTheme="minorBidi" w:cstheme="minorBidi"/>
                <w:b/>
                <w:bCs/>
                <w:color w:val="000000"/>
                <w:szCs w:val="24"/>
              </w:rPr>
              <w:t xml:space="preserve">istrict </w:t>
            </w:r>
            <w:r w:rsidR="00501C10" w:rsidRPr="001C2DEB">
              <w:rPr>
                <w:rFonts w:asciiTheme="minorBidi" w:hAnsiTheme="minorBidi" w:cstheme="minorBidi"/>
                <w:b/>
                <w:bCs/>
                <w:color w:val="000000"/>
                <w:szCs w:val="24"/>
              </w:rPr>
              <w:t>c</w:t>
            </w:r>
            <w:r w:rsidRPr="001C2DEB">
              <w:rPr>
                <w:rFonts w:asciiTheme="minorBidi" w:hAnsiTheme="minorBidi" w:cstheme="minorBidi"/>
                <w:b/>
                <w:bCs/>
                <w:color w:val="000000"/>
                <w:szCs w:val="24"/>
              </w:rPr>
              <w:t>ouncils</w:t>
            </w:r>
            <w:r w:rsidR="009128AB" w:rsidRPr="001C2DEB">
              <w:rPr>
                <w:rStyle w:val="FootnoteReference"/>
                <w:rFonts w:asciiTheme="minorBidi" w:hAnsiTheme="minorBidi"/>
                <w:b/>
                <w:bCs/>
                <w:color w:val="000000"/>
                <w:sz w:val="24"/>
                <w:szCs w:val="24"/>
              </w:rPr>
              <w:footnoteReference w:id="27"/>
            </w:r>
          </w:p>
        </w:tc>
        <w:tc>
          <w:tcPr>
            <w:tcW w:w="749" w:type="pct"/>
            <w:noWrap/>
            <w:hideMark/>
          </w:tcPr>
          <w:p w14:paraId="3ECC96D8" w14:textId="0E1211F1" w:rsidR="00394718" w:rsidRPr="005413C5" w:rsidRDefault="00611A38" w:rsidP="00394718">
            <w:pPr>
              <w:spacing w:before="40" w:after="40"/>
              <w:jc w:val="center"/>
              <w:rPr>
                <w:b/>
                <w:bCs/>
                <w:color w:val="000000"/>
                <w:szCs w:val="24"/>
              </w:rPr>
            </w:pPr>
            <w:r w:rsidRPr="005413C5">
              <w:rPr>
                <w:b/>
                <w:bCs/>
                <w:color w:val="000000"/>
                <w:szCs w:val="24"/>
              </w:rPr>
              <w:t>£</w:t>
            </w:r>
            <w:r w:rsidR="00394718" w:rsidRPr="005413C5">
              <w:rPr>
                <w:b/>
                <w:color w:val="000000"/>
                <w:szCs w:val="24"/>
              </w:rPr>
              <w:t>0.0</w:t>
            </w:r>
            <w:r w:rsidR="005224BA">
              <w:rPr>
                <w:b/>
                <w:color w:val="000000"/>
                <w:szCs w:val="24"/>
              </w:rPr>
              <w:t>5</w:t>
            </w:r>
            <w:r w:rsidRPr="005413C5">
              <w:rPr>
                <w:b/>
                <w:bCs/>
                <w:color w:val="000000"/>
                <w:szCs w:val="24"/>
              </w:rPr>
              <w:t>m</w:t>
            </w:r>
          </w:p>
        </w:tc>
        <w:tc>
          <w:tcPr>
            <w:tcW w:w="749" w:type="pct"/>
            <w:noWrap/>
            <w:hideMark/>
          </w:tcPr>
          <w:p w14:paraId="49C3A3E0" w14:textId="6646FFD3" w:rsidR="00394718" w:rsidRPr="005413C5" w:rsidRDefault="00611A38" w:rsidP="00394718">
            <w:pPr>
              <w:spacing w:before="40" w:after="40"/>
              <w:jc w:val="center"/>
              <w:rPr>
                <w:b/>
                <w:bCs/>
                <w:color w:val="000000"/>
                <w:szCs w:val="24"/>
              </w:rPr>
            </w:pPr>
            <w:r w:rsidRPr="005413C5">
              <w:rPr>
                <w:b/>
                <w:bCs/>
                <w:color w:val="000000"/>
                <w:szCs w:val="24"/>
              </w:rPr>
              <w:t>£</w:t>
            </w:r>
            <w:r w:rsidR="00394718" w:rsidRPr="005413C5">
              <w:rPr>
                <w:b/>
                <w:color w:val="000000"/>
                <w:szCs w:val="24"/>
              </w:rPr>
              <w:t>0.</w:t>
            </w:r>
            <w:r w:rsidR="005224BA">
              <w:rPr>
                <w:b/>
                <w:color w:val="000000"/>
                <w:szCs w:val="24"/>
              </w:rPr>
              <w:t>00</w:t>
            </w:r>
            <w:r w:rsidRPr="005413C5">
              <w:rPr>
                <w:b/>
                <w:bCs/>
                <w:color w:val="000000"/>
                <w:szCs w:val="24"/>
              </w:rPr>
              <w:t>m</w:t>
            </w:r>
          </w:p>
        </w:tc>
        <w:tc>
          <w:tcPr>
            <w:tcW w:w="749" w:type="pct"/>
            <w:noWrap/>
            <w:hideMark/>
          </w:tcPr>
          <w:p w14:paraId="7172A62F" w14:textId="4CD1211C" w:rsidR="00394718" w:rsidRPr="005413C5" w:rsidRDefault="00611A38" w:rsidP="00394718">
            <w:pPr>
              <w:spacing w:before="40" w:after="40"/>
              <w:jc w:val="center"/>
              <w:rPr>
                <w:b/>
                <w:bCs/>
                <w:color w:val="000000"/>
                <w:szCs w:val="24"/>
              </w:rPr>
            </w:pPr>
            <w:r w:rsidRPr="005413C5">
              <w:rPr>
                <w:b/>
                <w:bCs/>
                <w:color w:val="000000"/>
                <w:szCs w:val="24"/>
              </w:rPr>
              <w:t>£</w:t>
            </w:r>
            <w:r w:rsidR="00394718" w:rsidRPr="005413C5">
              <w:rPr>
                <w:b/>
                <w:color w:val="000000"/>
                <w:szCs w:val="24"/>
              </w:rPr>
              <w:t>0.</w:t>
            </w:r>
            <w:r w:rsidR="00E458CD">
              <w:rPr>
                <w:b/>
                <w:color w:val="000000"/>
                <w:szCs w:val="24"/>
              </w:rPr>
              <w:t>05</w:t>
            </w:r>
            <w:r w:rsidRPr="005413C5">
              <w:rPr>
                <w:b/>
                <w:bCs/>
                <w:color w:val="000000"/>
                <w:szCs w:val="24"/>
              </w:rPr>
              <w:t>m</w:t>
            </w:r>
          </w:p>
        </w:tc>
        <w:tc>
          <w:tcPr>
            <w:tcW w:w="749" w:type="pct"/>
            <w:noWrap/>
            <w:hideMark/>
          </w:tcPr>
          <w:p w14:paraId="565E42CC" w14:textId="0DF018C0" w:rsidR="00394718" w:rsidRPr="005413C5" w:rsidRDefault="00611A38" w:rsidP="00394718">
            <w:pPr>
              <w:spacing w:before="40" w:after="40"/>
              <w:jc w:val="center"/>
              <w:rPr>
                <w:b/>
                <w:bCs/>
                <w:color w:val="000000"/>
                <w:szCs w:val="24"/>
              </w:rPr>
            </w:pPr>
            <w:r w:rsidRPr="005413C5">
              <w:rPr>
                <w:b/>
                <w:bCs/>
                <w:color w:val="000000"/>
                <w:szCs w:val="24"/>
              </w:rPr>
              <w:t>£</w:t>
            </w:r>
            <w:r w:rsidR="00394718" w:rsidRPr="005413C5">
              <w:rPr>
                <w:b/>
                <w:color w:val="000000"/>
                <w:szCs w:val="24"/>
              </w:rPr>
              <w:t>0.</w:t>
            </w:r>
            <w:r w:rsidR="00E458CD">
              <w:rPr>
                <w:b/>
                <w:color w:val="000000"/>
                <w:szCs w:val="24"/>
              </w:rPr>
              <w:t>05</w:t>
            </w:r>
            <w:r w:rsidRPr="005413C5">
              <w:rPr>
                <w:b/>
                <w:bCs/>
                <w:color w:val="000000"/>
                <w:szCs w:val="24"/>
              </w:rPr>
              <w:t>m</w:t>
            </w:r>
          </w:p>
        </w:tc>
        <w:tc>
          <w:tcPr>
            <w:tcW w:w="746" w:type="pct"/>
            <w:noWrap/>
            <w:hideMark/>
          </w:tcPr>
          <w:p w14:paraId="79357156" w14:textId="4EF22E9A" w:rsidR="00394718" w:rsidRPr="005413C5" w:rsidRDefault="00611A38" w:rsidP="00394718">
            <w:pPr>
              <w:spacing w:before="40" w:after="40"/>
              <w:jc w:val="center"/>
              <w:rPr>
                <w:b/>
                <w:bCs/>
                <w:color w:val="000000"/>
                <w:szCs w:val="24"/>
              </w:rPr>
            </w:pPr>
            <w:r w:rsidRPr="005413C5">
              <w:rPr>
                <w:b/>
                <w:bCs/>
                <w:color w:val="000000"/>
                <w:szCs w:val="24"/>
              </w:rPr>
              <w:t>£</w:t>
            </w:r>
            <w:r w:rsidR="00394718" w:rsidRPr="005413C5">
              <w:rPr>
                <w:b/>
                <w:color w:val="000000"/>
                <w:szCs w:val="24"/>
              </w:rPr>
              <w:t>0.0</w:t>
            </w:r>
            <w:r w:rsidR="00E458CD">
              <w:rPr>
                <w:b/>
                <w:color w:val="000000"/>
                <w:szCs w:val="24"/>
              </w:rPr>
              <w:t>1</w:t>
            </w:r>
            <w:r w:rsidRPr="005413C5">
              <w:rPr>
                <w:b/>
                <w:bCs/>
                <w:color w:val="000000"/>
                <w:szCs w:val="24"/>
              </w:rPr>
              <w:t>m</w:t>
            </w:r>
          </w:p>
        </w:tc>
      </w:tr>
      <w:tr w:rsidR="00394718" w:rsidRPr="00EF0BA9" w14:paraId="0271DBD5" w14:textId="77777777" w:rsidTr="003279BF">
        <w:tc>
          <w:tcPr>
            <w:tcW w:w="1259" w:type="pct"/>
            <w:noWrap/>
            <w:hideMark/>
          </w:tcPr>
          <w:p w14:paraId="3621DF33" w14:textId="77777777" w:rsidR="00394718" w:rsidRPr="001C2DEB" w:rsidRDefault="00394718" w:rsidP="00394718">
            <w:pPr>
              <w:spacing w:before="40" w:after="40"/>
              <w:rPr>
                <w:rFonts w:asciiTheme="minorBidi" w:hAnsiTheme="minorBidi" w:cstheme="minorBidi"/>
                <w:color w:val="000000"/>
                <w:szCs w:val="24"/>
              </w:rPr>
            </w:pPr>
            <w:r w:rsidRPr="001C2DEB">
              <w:rPr>
                <w:rFonts w:asciiTheme="minorBidi" w:hAnsiTheme="minorBidi" w:cstheme="minorBidi"/>
                <w:color w:val="000000"/>
                <w:szCs w:val="24"/>
              </w:rPr>
              <w:t>Low</w:t>
            </w:r>
          </w:p>
        </w:tc>
        <w:tc>
          <w:tcPr>
            <w:tcW w:w="749" w:type="pct"/>
            <w:noWrap/>
            <w:hideMark/>
          </w:tcPr>
          <w:p w14:paraId="4C7C6FE8" w14:textId="3BF2B445" w:rsidR="00394718" w:rsidRPr="005413C5" w:rsidRDefault="00611A38" w:rsidP="00394718">
            <w:pPr>
              <w:spacing w:before="40" w:after="40"/>
              <w:jc w:val="center"/>
              <w:rPr>
                <w:color w:val="000000"/>
                <w:szCs w:val="24"/>
              </w:rPr>
            </w:pPr>
            <w:r w:rsidRPr="005413C5">
              <w:rPr>
                <w:color w:val="000000"/>
                <w:szCs w:val="24"/>
              </w:rPr>
              <w:t>£</w:t>
            </w:r>
            <w:r w:rsidR="00394718" w:rsidRPr="005413C5">
              <w:rPr>
                <w:color w:val="000000"/>
                <w:szCs w:val="24"/>
              </w:rPr>
              <w:t>0.0</w:t>
            </w:r>
            <w:r w:rsidR="00E458CD">
              <w:rPr>
                <w:color w:val="000000"/>
                <w:szCs w:val="24"/>
              </w:rPr>
              <w:t>5</w:t>
            </w:r>
            <w:r w:rsidRPr="005413C5">
              <w:rPr>
                <w:color w:val="000000"/>
                <w:szCs w:val="24"/>
              </w:rPr>
              <w:t>m</w:t>
            </w:r>
          </w:p>
        </w:tc>
        <w:tc>
          <w:tcPr>
            <w:tcW w:w="749" w:type="pct"/>
            <w:noWrap/>
            <w:hideMark/>
          </w:tcPr>
          <w:p w14:paraId="5CDE02F4" w14:textId="68FA8B3D" w:rsidR="00394718" w:rsidRPr="005413C5" w:rsidRDefault="00611A38" w:rsidP="00394718">
            <w:pPr>
              <w:spacing w:before="40" w:after="40"/>
              <w:jc w:val="center"/>
              <w:rPr>
                <w:color w:val="000000"/>
                <w:szCs w:val="24"/>
              </w:rPr>
            </w:pPr>
            <w:r w:rsidRPr="005413C5">
              <w:rPr>
                <w:color w:val="000000"/>
                <w:szCs w:val="24"/>
              </w:rPr>
              <w:t>£</w:t>
            </w:r>
            <w:r w:rsidR="00394718" w:rsidRPr="005413C5">
              <w:rPr>
                <w:color w:val="000000"/>
                <w:szCs w:val="24"/>
              </w:rPr>
              <w:t>0.</w:t>
            </w:r>
            <w:r w:rsidR="00E458CD">
              <w:rPr>
                <w:color w:val="000000"/>
                <w:szCs w:val="24"/>
              </w:rPr>
              <w:t>00</w:t>
            </w:r>
            <w:r w:rsidRPr="005413C5">
              <w:rPr>
                <w:color w:val="000000"/>
                <w:szCs w:val="24"/>
              </w:rPr>
              <w:t>m</w:t>
            </w:r>
          </w:p>
        </w:tc>
        <w:tc>
          <w:tcPr>
            <w:tcW w:w="749" w:type="pct"/>
            <w:noWrap/>
            <w:hideMark/>
          </w:tcPr>
          <w:p w14:paraId="4C242527" w14:textId="6EBC8AA2" w:rsidR="00394718" w:rsidRPr="005413C5" w:rsidRDefault="00611A38" w:rsidP="00394718">
            <w:pPr>
              <w:spacing w:before="40" w:after="40"/>
              <w:jc w:val="center"/>
              <w:rPr>
                <w:color w:val="000000"/>
                <w:szCs w:val="24"/>
              </w:rPr>
            </w:pPr>
            <w:r w:rsidRPr="005413C5">
              <w:rPr>
                <w:color w:val="000000"/>
                <w:szCs w:val="24"/>
              </w:rPr>
              <w:t>£</w:t>
            </w:r>
            <w:r w:rsidR="00394718" w:rsidRPr="005413C5">
              <w:rPr>
                <w:color w:val="000000"/>
                <w:szCs w:val="24"/>
              </w:rPr>
              <w:t>0.</w:t>
            </w:r>
            <w:r w:rsidR="00FB1841">
              <w:rPr>
                <w:color w:val="000000"/>
                <w:szCs w:val="24"/>
              </w:rPr>
              <w:t>05</w:t>
            </w:r>
            <w:r w:rsidRPr="005413C5">
              <w:rPr>
                <w:color w:val="000000"/>
                <w:szCs w:val="24"/>
              </w:rPr>
              <w:t>m</w:t>
            </w:r>
          </w:p>
        </w:tc>
        <w:tc>
          <w:tcPr>
            <w:tcW w:w="749" w:type="pct"/>
            <w:noWrap/>
            <w:hideMark/>
          </w:tcPr>
          <w:p w14:paraId="21B23332" w14:textId="521F6322" w:rsidR="00394718" w:rsidRPr="005413C5" w:rsidRDefault="00611A38" w:rsidP="00394718">
            <w:pPr>
              <w:spacing w:before="40" w:after="40"/>
              <w:jc w:val="center"/>
              <w:rPr>
                <w:color w:val="000000"/>
                <w:szCs w:val="24"/>
              </w:rPr>
            </w:pPr>
            <w:r w:rsidRPr="005413C5">
              <w:rPr>
                <w:color w:val="000000"/>
                <w:szCs w:val="24"/>
              </w:rPr>
              <w:t>£</w:t>
            </w:r>
            <w:r w:rsidR="00394718" w:rsidRPr="005413C5">
              <w:rPr>
                <w:color w:val="000000"/>
                <w:szCs w:val="24"/>
              </w:rPr>
              <w:t>0.</w:t>
            </w:r>
            <w:r w:rsidR="00FB1841">
              <w:rPr>
                <w:color w:val="000000"/>
                <w:szCs w:val="24"/>
              </w:rPr>
              <w:t>05</w:t>
            </w:r>
            <w:r w:rsidRPr="005413C5">
              <w:rPr>
                <w:color w:val="000000"/>
                <w:szCs w:val="24"/>
              </w:rPr>
              <w:t>m</w:t>
            </w:r>
          </w:p>
        </w:tc>
        <w:tc>
          <w:tcPr>
            <w:tcW w:w="746" w:type="pct"/>
            <w:noWrap/>
            <w:hideMark/>
          </w:tcPr>
          <w:p w14:paraId="4C62B977" w14:textId="192AF9FA" w:rsidR="00394718" w:rsidRPr="005413C5" w:rsidRDefault="00611A38" w:rsidP="00394718">
            <w:pPr>
              <w:spacing w:before="40" w:after="40"/>
              <w:jc w:val="center"/>
              <w:rPr>
                <w:color w:val="000000"/>
                <w:szCs w:val="24"/>
              </w:rPr>
            </w:pPr>
            <w:r w:rsidRPr="005413C5">
              <w:rPr>
                <w:color w:val="000000"/>
                <w:szCs w:val="24"/>
              </w:rPr>
              <w:t>£</w:t>
            </w:r>
            <w:r w:rsidR="00394718" w:rsidRPr="005413C5">
              <w:rPr>
                <w:color w:val="000000"/>
                <w:szCs w:val="24"/>
              </w:rPr>
              <w:t>0.0</w:t>
            </w:r>
            <w:r w:rsidR="00FB1841">
              <w:rPr>
                <w:color w:val="000000"/>
                <w:szCs w:val="24"/>
              </w:rPr>
              <w:t>1</w:t>
            </w:r>
            <w:r w:rsidRPr="005413C5">
              <w:rPr>
                <w:color w:val="000000"/>
                <w:szCs w:val="24"/>
              </w:rPr>
              <w:t>m</w:t>
            </w:r>
          </w:p>
        </w:tc>
      </w:tr>
      <w:tr w:rsidR="00394718" w:rsidRPr="00EF0BA9" w14:paraId="531BB9E6" w14:textId="77777777" w:rsidTr="003279BF">
        <w:tc>
          <w:tcPr>
            <w:tcW w:w="1259" w:type="pct"/>
            <w:noWrap/>
            <w:hideMark/>
          </w:tcPr>
          <w:p w14:paraId="650B266F" w14:textId="77777777" w:rsidR="00394718" w:rsidRPr="001C2DEB" w:rsidRDefault="00394718" w:rsidP="00394718">
            <w:pPr>
              <w:spacing w:before="40" w:after="40"/>
              <w:rPr>
                <w:rFonts w:asciiTheme="minorBidi" w:hAnsiTheme="minorBidi" w:cstheme="minorBidi"/>
                <w:color w:val="000000"/>
                <w:szCs w:val="24"/>
              </w:rPr>
            </w:pPr>
            <w:r w:rsidRPr="001C2DEB">
              <w:rPr>
                <w:rFonts w:asciiTheme="minorBidi" w:hAnsiTheme="minorBidi" w:cstheme="minorBidi"/>
                <w:color w:val="000000"/>
                <w:szCs w:val="24"/>
              </w:rPr>
              <w:t>High</w:t>
            </w:r>
          </w:p>
        </w:tc>
        <w:tc>
          <w:tcPr>
            <w:tcW w:w="749" w:type="pct"/>
            <w:noWrap/>
            <w:hideMark/>
          </w:tcPr>
          <w:p w14:paraId="77CE6908" w14:textId="20C4B181" w:rsidR="00394718" w:rsidRPr="005413C5" w:rsidRDefault="00611A38" w:rsidP="00394718">
            <w:pPr>
              <w:spacing w:before="40" w:after="40"/>
              <w:jc w:val="center"/>
              <w:rPr>
                <w:color w:val="000000"/>
                <w:szCs w:val="24"/>
              </w:rPr>
            </w:pPr>
            <w:r w:rsidRPr="005413C5">
              <w:rPr>
                <w:color w:val="000000"/>
                <w:szCs w:val="24"/>
              </w:rPr>
              <w:t>£</w:t>
            </w:r>
            <w:r w:rsidR="00394718" w:rsidRPr="005413C5">
              <w:rPr>
                <w:color w:val="000000"/>
                <w:szCs w:val="24"/>
              </w:rPr>
              <w:t>0.0</w:t>
            </w:r>
            <w:r w:rsidR="00E458CD">
              <w:rPr>
                <w:color w:val="000000"/>
                <w:szCs w:val="24"/>
              </w:rPr>
              <w:t>5</w:t>
            </w:r>
            <w:r w:rsidRPr="005413C5">
              <w:rPr>
                <w:color w:val="000000"/>
                <w:szCs w:val="24"/>
              </w:rPr>
              <w:t>m</w:t>
            </w:r>
          </w:p>
        </w:tc>
        <w:tc>
          <w:tcPr>
            <w:tcW w:w="749" w:type="pct"/>
            <w:noWrap/>
            <w:hideMark/>
          </w:tcPr>
          <w:p w14:paraId="44A060A7" w14:textId="34DA78DB" w:rsidR="00394718" w:rsidRPr="005413C5" w:rsidRDefault="00611A38" w:rsidP="00394718">
            <w:pPr>
              <w:spacing w:before="40" w:after="40"/>
              <w:jc w:val="center"/>
              <w:rPr>
                <w:color w:val="000000"/>
                <w:szCs w:val="24"/>
              </w:rPr>
            </w:pPr>
            <w:r w:rsidRPr="005413C5">
              <w:rPr>
                <w:color w:val="000000"/>
                <w:szCs w:val="24"/>
              </w:rPr>
              <w:t>£</w:t>
            </w:r>
            <w:r w:rsidR="00394718" w:rsidRPr="005413C5">
              <w:rPr>
                <w:color w:val="000000"/>
                <w:szCs w:val="24"/>
              </w:rPr>
              <w:t>0.</w:t>
            </w:r>
            <w:r w:rsidR="00E458CD">
              <w:rPr>
                <w:color w:val="000000"/>
                <w:szCs w:val="24"/>
              </w:rPr>
              <w:t>00</w:t>
            </w:r>
            <w:r w:rsidRPr="005413C5">
              <w:rPr>
                <w:color w:val="000000"/>
                <w:szCs w:val="24"/>
              </w:rPr>
              <w:t>m</w:t>
            </w:r>
          </w:p>
        </w:tc>
        <w:tc>
          <w:tcPr>
            <w:tcW w:w="749" w:type="pct"/>
            <w:noWrap/>
            <w:hideMark/>
          </w:tcPr>
          <w:p w14:paraId="57A8AD2D" w14:textId="3C5B3EFA" w:rsidR="00394718" w:rsidRPr="005413C5" w:rsidRDefault="00611A38" w:rsidP="00394718">
            <w:pPr>
              <w:spacing w:before="40" w:after="40"/>
              <w:jc w:val="center"/>
              <w:rPr>
                <w:color w:val="000000"/>
                <w:szCs w:val="24"/>
              </w:rPr>
            </w:pPr>
            <w:r w:rsidRPr="005413C5">
              <w:rPr>
                <w:color w:val="000000"/>
                <w:szCs w:val="24"/>
              </w:rPr>
              <w:t>£</w:t>
            </w:r>
            <w:r w:rsidR="00394718" w:rsidRPr="005413C5">
              <w:rPr>
                <w:color w:val="000000"/>
                <w:szCs w:val="24"/>
              </w:rPr>
              <w:t>0.</w:t>
            </w:r>
            <w:r w:rsidR="00FB1841">
              <w:rPr>
                <w:color w:val="000000"/>
                <w:szCs w:val="24"/>
              </w:rPr>
              <w:t>05</w:t>
            </w:r>
            <w:r w:rsidRPr="005413C5">
              <w:rPr>
                <w:color w:val="000000"/>
                <w:szCs w:val="24"/>
              </w:rPr>
              <w:t>m</w:t>
            </w:r>
          </w:p>
        </w:tc>
        <w:tc>
          <w:tcPr>
            <w:tcW w:w="749" w:type="pct"/>
            <w:noWrap/>
            <w:hideMark/>
          </w:tcPr>
          <w:p w14:paraId="7D086E43" w14:textId="138BD95C" w:rsidR="00394718" w:rsidRPr="005413C5" w:rsidRDefault="00611A38" w:rsidP="00394718">
            <w:pPr>
              <w:spacing w:before="40" w:after="40"/>
              <w:jc w:val="center"/>
              <w:rPr>
                <w:color w:val="000000"/>
                <w:szCs w:val="24"/>
              </w:rPr>
            </w:pPr>
            <w:r w:rsidRPr="005413C5">
              <w:rPr>
                <w:color w:val="000000"/>
                <w:szCs w:val="24"/>
              </w:rPr>
              <w:t>£</w:t>
            </w:r>
            <w:r w:rsidR="00394718" w:rsidRPr="005413C5">
              <w:rPr>
                <w:color w:val="000000"/>
                <w:szCs w:val="24"/>
              </w:rPr>
              <w:t>0.</w:t>
            </w:r>
            <w:r w:rsidR="00FB1841">
              <w:rPr>
                <w:color w:val="000000"/>
                <w:szCs w:val="24"/>
              </w:rPr>
              <w:t>05</w:t>
            </w:r>
            <w:r w:rsidRPr="005413C5">
              <w:rPr>
                <w:color w:val="000000"/>
                <w:szCs w:val="24"/>
              </w:rPr>
              <w:t>m</w:t>
            </w:r>
          </w:p>
        </w:tc>
        <w:tc>
          <w:tcPr>
            <w:tcW w:w="746" w:type="pct"/>
            <w:noWrap/>
            <w:hideMark/>
          </w:tcPr>
          <w:p w14:paraId="477AF527" w14:textId="771E5E68" w:rsidR="00394718" w:rsidRPr="005413C5" w:rsidRDefault="00611A38" w:rsidP="00394718">
            <w:pPr>
              <w:spacing w:before="40" w:after="40"/>
              <w:jc w:val="center"/>
              <w:rPr>
                <w:color w:val="000000"/>
                <w:szCs w:val="24"/>
              </w:rPr>
            </w:pPr>
            <w:r w:rsidRPr="005413C5">
              <w:rPr>
                <w:color w:val="000000"/>
                <w:szCs w:val="24"/>
              </w:rPr>
              <w:t>£</w:t>
            </w:r>
            <w:r w:rsidR="00394718" w:rsidRPr="005413C5">
              <w:rPr>
                <w:color w:val="000000"/>
                <w:szCs w:val="24"/>
              </w:rPr>
              <w:t>0.0</w:t>
            </w:r>
            <w:r w:rsidR="00FB1841">
              <w:rPr>
                <w:color w:val="000000"/>
                <w:szCs w:val="24"/>
              </w:rPr>
              <w:t>1</w:t>
            </w:r>
            <w:r w:rsidRPr="005413C5">
              <w:rPr>
                <w:color w:val="000000"/>
                <w:szCs w:val="24"/>
              </w:rPr>
              <w:t>m</w:t>
            </w:r>
          </w:p>
        </w:tc>
      </w:tr>
    </w:tbl>
    <w:p w14:paraId="69B79980" w14:textId="77777777" w:rsidR="00524436" w:rsidRDefault="00524436" w:rsidP="00524436">
      <w:pPr>
        <w:tabs>
          <w:tab w:val="left" w:pos="7920"/>
        </w:tabs>
        <w:rPr>
          <w:b/>
          <w:sz w:val="22"/>
          <w:szCs w:val="22"/>
        </w:rPr>
      </w:pPr>
    </w:p>
    <w:p w14:paraId="0A9AFF15" w14:textId="77777777" w:rsidR="00D50E30" w:rsidRDefault="00D50E30" w:rsidP="00524436">
      <w:pPr>
        <w:pStyle w:val="Caption"/>
        <w:keepNext/>
        <w:keepLines/>
        <w:rPr>
          <w:rFonts w:eastAsia="Arial"/>
          <w:b/>
          <w:bCs/>
          <w:i w:val="0"/>
          <w:iCs w:val="0"/>
          <w:color w:val="auto"/>
          <w:sz w:val="24"/>
          <w:szCs w:val="24"/>
          <w:lang w:val="en-US"/>
        </w:rPr>
      </w:pPr>
    </w:p>
    <w:p w14:paraId="4388A163" w14:textId="004FA5DF" w:rsidR="00524436" w:rsidRPr="0019618A" w:rsidRDefault="00524436" w:rsidP="00524436">
      <w:pPr>
        <w:pStyle w:val="Caption"/>
        <w:keepNext/>
        <w:keepLines/>
        <w:rPr>
          <w:rFonts w:eastAsia="Arial"/>
          <w:b/>
          <w:bCs/>
          <w:i w:val="0"/>
          <w:iCs w:val="0"/>
          <w:color w:val="auto"/>
          <w:sz w:val="24"/>
          <w:szCs w:val="24"/>
          <w:lang w:val="en-US"/>
        </w:rPr>
      </w:pPr>
      <w:r w:rsidRPr="0019618A">
        <w:rPr>
          <w:rFonts w:eastAsia="Arial"/>
          <w:b/>
          <w:bCs/>
          <w:i w:val="0"/>
          <w:iCs w:val="0"/>
          <w:color w:val="auto"/>
          <w:sz w:val="24"/>
          <w:szCs w:val="24"/>
          <w:lang w:val="en-US"/>
        </w:rPr>
        <w:t xml:space="preserve">Table </w:t>
      </w:r>
      <w:r w:rsidR="006A0A7E" w:rsidRPr="0019618A">
        <w:rPr>
          <w:rFonts w:eastAsia="Arial"/>
          <w:b/>
          <w:bCs/>
          <w:i w:val="0"/>
          <w:iCs w:val="0"/>
          <w:color w:val="auto"/>
          <w:sz w:val="24"/>
          <w:szCs w:val="24"/>
          <w:lang w:val="en-US"/>
        </w:rPr>
        <w:t>2</w:t>
      </w:r>
      <w:r w:rsidRPr="0019618A">
        <w:rPr>
          <w:rFonts w:eastAsia="Arial"/>
          <w:b/>
          <w:bCs/>
          <w:i w:val="0"/>
          <w:iCs w:val="0"/>
          <w:color w:val="auto"/>
          <w:sz w:val="24"/>
          <w:szCs w:val="24"/>
          <w:lang w:val="en-US"/>
        </w:rPr>
        <w:t xml:space="preserve"> - Estimated costs of Option 2 to FSA, rounded to £m</w:t>
      </w:r>
    </w:p>
    <w:tbl>
      <w:tblPr>
        <w:tblStyle w:val="TableGrid"/>
        <w:tblW w:w="5000" w:type="pct"/>
        <w:tblLayout w:type="fixed"/>
        <w:tblLook w:val="04A0" w:firstRow="1" w:lastRow="0" w:firstColumn="1" w:lastColumn="0" w:noHBand="0" w:noVBand="1"/>
      </w:tblPr>
      <w:tblGrid>
        <w:gridCol w:w="2541"/>
        <w:gridCol w:w="1509"/>
        <w:gridCol w:w="1508"/>
        <w:gridCol w:w="1508"/>
        <w:gridCol w:w="1508"/>
        <w:gridCol w:w="1496"/>
      </w:tblGrid>
      <w:tr w:rsidR="003279BF" w:rsidRPr="003279BF" w14:paraId="03223FC3" w14:textId="77777777" w:rsidTr="00950320">
        <w:tc>
          <w:tcPr>
            <w:tcW w:w="1261" w:type="pct"/>
            <w:shd w:val="clear" w:color="auto" w:fill="E2EFD9" w:themeFill="accent6" w:themeFillTint="33"/>
            <w:noWrap/>
            <w:hideMark/>
          </w:tcPr>
          <w:p w14:paraId="6BA41D4B" w14:textId="77777777" w:rsidR="00524436" w:rsidRPr="003279BF" w:rsidRDefault="00524436" w:rsidP="00850286">
            <w:pPr>
              <w:keepNext/>
              <w:keepLines/>
              <w:spacing w:before="40" w:after="40"/>
              <w:rPr>
                <w:rFonts w:asciiTheme="minorBidi" w:hAnsiTheme="minorBidi" w:cstheme="minorBidi"/>
                <w:b/>
                <w:bCs/>
                <w:szCs w:val="24"/>
              </w:rPr>
            </w:pPr>
            <w:r w:rsidRPr="003279BF">
              <w:rPr>
                <w:rFonts w:asciiTheme="minorBidi" w:hAnsiTheme="minorBidi" w:cstheme="minorBidi"/>
                <w:b/>
                <w:bCs/>
                <w:szCs w:val="24"/>
              </w:rPr>
              <w:t>FSA</w:t>
            </w:r>
          </w:p>
        </w:tc>
        <w:tc>
          <w:tcPr>
            <w:tcW w:w="749" w:type="pct"/>
            <w:shd w:val="clear" w:color="auto" w:fill="E2EFD9" w:themeFill="accent6" w:themeFillTint="33"/>
            <w:noWrap/>
            <w:hideMark/>
          </w:tcPr>
          <w:p w14:paraId="1204A748" w14:textId="77777777" w:rsidR="00524436" w:rsidRPr="003279BF" w:rsidRDefault="00524436" w:rsidP="00850286">
            <w:pPr>
              <w:keepNext/>
              <w:keepLines/>
              <w:spacing w:before="40" w:after="40"/>
              <w:jc w:val="center"/>
              <w:rPr>
                <w:rFonts w:asciiTheme="minorBidi" w:hAnsiTheme="minorBidi" w:cstheme="minorBidi"/>
                <w:b/>
                <w:bCs/>
                <w:szCs w:val="24"/>
              </w:rPr>
            </w:pPr>
            <w:r w:rsidRPr="003279BF">
              <w:rPr>
                <w:rFonts w:asciiTheme="minorBidi" w:hAnsiTheme="minorBidi" w:cstheme="minorBidi"/>
                <w:b/>
                <w:bCs/>
                <w:szCs w:val="24"/>
              </w:rPr>
              <w:t xml:space="preserve">Total One-Off </w:t>
            </w:r>
          </w:p>
        </w:tc>
        <w:tc>
          <w:tcPr>
            <w:tcW w:w="749" w:type="pct"/>
            <w:shd w:val="clear" w:color="auto" w:fill="E2EFD9" w:themeFill="accent6" w:themeFillTint="33"/>
            <w:hideMark/>
          </w:tcPr>
          <w:p w14:paraId="57923153" w14:textId="77777777" w:rsidR="00524436" w:rsidRPr="003279BF" w:rsidRDefault="00524436" w:rsidP="00850286">
            <w:pPr>
              <w:keepNext/>
              <w:keepLines/>
              <w:spacing w:before="40" w:after="40"/>
              <w:jc w:val="center"/>
              <w:rPr>
                <w:rFonts w:asciiTheme="minorBidi" w:hAnsiTheme="minorBidi" w:cstheme="minorBidi"/>
                <w:b/>
                <w:bCs/>
                <w:szCs w:val="24"/>
              </w:rPr>
            </w:pPr>
            <w:r w:rsidRPr="003279BF">
              <w:rPr>
                <w:rFonts w:asciiTheme="minorBidi" w:hAnsiTheme="minorBidi" w:cstheme="minorBidi"/>
                <w:b/>
                <w:bCs/>
                <w:szCs w:val="24"/>
              </w:rPr>
              <w:t xml:space="preserve">Total Recurring </w:t>
            </w:r>
          </w:p>
        </w:tc>
        <w:tc>
          <w:tcPr>
            <w:tcW w:w="749" w:type="pct"/>
            <w:shd w:val="clear" w:color="auto" w:fill="E2EFD9" w:themeFill="accent6" w:themeFillTint="33"/>
            <w:hideMark/>
          </w:tcPr>
          <w:p w14:paraId="1E7B1186" w14:textId="77777777" w:rsidR="00524436" w:rsidRPr="003279BF" w:rsidRDefault="00524436" w:rsidP="00850286">
            <w:pPr>
              <w:keepNext/>
              <w:keepLines/>
              <w:spacing w:before="40" w:after="40"/>
              <w:jc w:val="center"/>
              <w:rPr>
                <w:rFonts w:asciiTheme="minorBidi" w:hAnsiTheme="minorBidi" w:cstheme="minorBidi"/>
                <w:b/>
                <w:bCs/>
                <w:szCs w:val="24"/>
              </w:rPr>
            </w:pPr>
            <w:r w:rsidRPr="003279BF">
              <w:rPr>
                <w:rFonts w:asciiTheme="minorBidi" w:hAnsiTheme="minorBidi" w:cstheme="minorBidi"/>
                <w:b/>
                <w:bCs/>
                <w:szCs w:val="24"/>
              </w:rPr>
              <w:t>Total</w:t>
            </w:r>
          </w:p>
        </w:tc>
        <w:tc>
          <w:tcPr>
            <w:tcW w:w="749" w:type="pct"/>
            <w:shd w:val="clear" w:color="auto" w:fill="E2EFD9" w:themeFill="accent6" w:themeFillTint="33"/>
            <w:hideMark/>
          </w:tcPr>
          <w:p w14:paraId="725C0962" w14:textId="6DC9C7B1" w:rsidR="00524436" w:rsidRPr="003279BF" w:rsidRDefault="00524436" w:rsidP="00850286">
            <w:pPr>
              <w:keepNext/>
              <w:keepLines/>
              <w:spacing w:before="40" w:after="40"/>
              <w:jc w:val="center"/>
              <w:rPr>
                <w:rFonts w:asciiTheme="minorBidi" w:hAnsiTheme="minorBidi" w:cstheme="minorBidi"/>
                <w:b/>
                <w:bCs/>
                <w:szCs w:val="24"/>
              </w:rPr>
            </w:pPr>
            <w:r w:rsidRPr="003279BF">
              <w:rPr>
                <w:rFonts w:asciiTheme="minorBidi" w:hAnsiTheme="minorBidi" w:cstheme="minorBidi"/>
                <w:b/>
                <w:bCs/>
                <w:szCs w:val="24"/>
              </w:rPr>
              <w:t>PV (2023 Base Year)</w:t>
            </w:r>
            <w:r w:rsidR="00300B5C" w:rsidRPr="003279BF">
              <w:rPr>
                <w:rFonts w:asciiTheme="minorBidi" w:hAnsiTheme="minorBidi" w:cstheme="minorBidi"/>
                <w:b/>
                <w:bCs/>
                <w:szCs w:val="24"/>
              </w:rPr>
              <w:t xml:space="preserve"> Total</w:t>
            </w:r>
          </w:p>
        </w:tc>
        <w:tc>
          <w:tcPr>
            <w:tcW w:w="744" w:type="pct"/>
            <w:shd w:val="clear" w:color="auto" w:fill="E2EFD9" w:themeFill="accent6" w:themeFillTint="33"/>
            <w:hideMark/>
          </w:tcPr>
          <w:p w14:paraId="4FE0EE49" w14:textId="77777777" w:rsidR="00524436" w:rsidRPr="003279BF" w:rsidRDefault="00524436" w:rsidP="00850286">
            <w:pPr>
              <w:keepNext/>
              <w:keepLines/>
              <w:spacing w:before="40" w:after="40"/>
              <w:jc w:val="center"/>
              <w:rPr>
                <w:rFonts w:asciiTheme="minorBidi" w:hAnsiTheme="minorBidi" w:cstheme="minorBidi"/>
                <w:b/>
                <w:bCs/>
                <w:szCs w:val="24"/>
              </w:rPr>
            </w:pPr>
            <w:r w:rsidRPr="003279BF">
              <w:rPr>
                <w:rFonts w:asciiTheme="minorBidi" w:hAnsiTheme="minorBidi" w:cstheme="minorBidi"/>
                <w:b/>
                <w:bCs/>
                <w:szCs w:val="24"/>
              </w:rPr>
              <w:t>Annual Equivalent</w:t>
            </w:r>
          </w:p>
        </w:tc>
      </w:tr>
      <w:tr w:rsidR="000302DF" w:rsidRPr="00EF0BA9" w14:paraId="354D080E" w14:textId="77777777" w:rsidTr="003279BF">
        <w:tc>
          <w:tcPr>
            <w:tcW w:w="1261" w:type="pct"/>
            <w:noWrap/>
            <w:hideMark/>
          </w:tcPr>
          <w:p w14:paraId="53F4DC21" w14:textId="77777777" w:rsidR="000302DF" w:rsidRPr="0019618A" w:rsidRDefault="000302DF" w:rsidP="000302DF">
            <w:pPr>
              <w:spacing w:before="40" w:after="40"/>
              <w:rPr>
                <w:rFonts w:asciiTheme="minorBidi" w:hAnsiTheme="minorBidi" w:cstheme="minorBidi"/>
                <w:b/>
                <w:bCs/>
                <w:color w:val="000000"/>
                <w:szCs w:val="24"/>
              </w:rPr>
            </w:pPr>
            <w:r w:rsidRPr="0019618A">
              <w:rPr>
                <w:rFonts w:asciiTheme="minorBidi" w:hAnsiTheme="minorBidi" w:cstheme="minorBidi"/>
                <w:b/>
                <w:bCs/>
                <w:color w:val="000000"/>
                <w:szCs w:val="24"/>
              </w:rPr>
              <w:t>Scheme promotion</w:t>
            </w:r>
          </w:p>
        </w:tc>
        <w:tc>
          <w:tcPr>
            <w:tcW w:w="749" w:type="pct"/>
            <w:noWrap/>
            <w:hideMark/>
          </w:tcPr>
          <w:p w14:paraId="73ADB1FB" w14:textId="17620310" w:rsidR="000302DF" w:rsidRPr="0019618A" w:rsidRDefault="000302DF" w:rsidP="000302DF">
            <w:pPr>
              <w:spacing w:before="40" w:after="40"/>
              <w:jc w:val="center"/>
              <w:rPr>
                <w:rFonts w:asciiTheme="minorBidi" w:hAnsiTheme="minorBidi" w:cstheme="minorBidi"/>
                <w:b/>
                <w:bCs/>
                <w:color w:val="000000"/>
                <w:szCs w:val="24"/>
              </w:rPr>
            </w:pPr>
            <w:r w:rsidRPr="0019618A">
              <w:rPr>
                <w:b/>
                <w:bCs/>
                <w:color w:val="000000"/>
                <w:szCs w:val="24"/>
              </w:rPr>
              <w:t>0.02</w:t>
            </w:r>
          </w:p>
        </w:tc>
        <w:tc>
          <w:tcPr>
            <w:tcW w:w="749" w:type="pct"/>
            <w:noWrap/>
            <w:hideMark/>
          </w:tcPr>
          <w:p w14:paraId="6991F2C7" w14:textId="0BF0C398" w:rsidR="000302DF" w:rsidRPr="0019618A" w:rsidRDefault="000302DF" w:rsidP="000302DF">
            <w:pPr>
              <w:spacing w:before="40" w:after="40"/>
              <w:jc w:val="center"/>
              <w:rPr>
                <w:rFonts w:asciiTheme="minorBidi" w:hAnsiTheme="minorBidi" w:cstheme="minorBidi"/>
                <w:b/>
                <w:bCs/>
                <w:color w:val="000000"/>
                <w:szCs w:val="24"/>
              </w:rPr>
            </w:pPr>
            <w:r w:rsidRPr="0019618A">
              <w:rPr>
                <w:b/>
                <w:bCs/>
                <w:color w:val="000000"/>
                <w:szCs w:val="24"/>
              </w:rPr>
              <w:t>0.00</w:t>
            </w:r>
          </w:p>
        </w:tc>
        <w:tc>
          <w:tcPr>
            <w:tcW w:w="749" w:type="pct"/>
            <w:noWrap/>
            <w:hideMark/>
          </w:tcPr>
          <w:p w14:paraId="1F1B9B3B" w14:textId="57790329" w:rsidR="000302DF" w:rsidRPr="0019618A" w:rsidRDefault="000302DF" w:rsidP="000302DF">
            <w:pPr>
              <w:spacing w:before="40" w:after="40"/>
              <w:jc w:val="center"/>
              <w:rPr>
                <w:rFonts w:asciiTheme="minorBidi" w:hAnsiTheme="minorBidi" w:cstheme="minorBidi"/>
                <w:b/>
                <w:bCs/>
                <w:color w:val="000000"/>
                <w:szCs w:val="24"/>
              </w:rPr>
            </w:pPr>
            <w:r w:rsidRPr="0019618A">
              <w:rPr>
                <w:b/>
                <w:bCs/>
                <w:color w:val="000000"/>
                <w:szCs w:val="24"/>
              </w:rPr>
              <w:t>0.02</w:t>
            </w:r>
          </w:p>
        </w:tc>
        <w:tc>
          <w:tcPr>
            <w:tcW w:w="749" w:type="pct"/>
            <w:noWrap/>
            <w:hideMark/>
          </w:tcPr>
          <w:p w14:paraId="011EDF3C" w14:textId="04EAEFDA" w:rsidR="000302DF" w:rsidRPr="0019618A" w:rsidRDefault="000302DF" w:rsidP="000302DF">
            <w:pPr>
              <w:spacing w:before="40" w:after="40"/>
              <w:jc w:val="center"/>
              <w:rPr>
                <w:rFonts w:asciiTheme="minorBidi" w:hAnsiTheme="minorBidi" w:cstheme="minorBidi"/>
                <w:b/>
                <w:bCs/>
                <w:color w:val="000000"/>
                <w:szCs w:val="24"/>
              </w:rPr>
            </w:pPr>
            <w:r w:rsidRPr="0019618A">
              <w:rPr>
                <w:b/>
                <w:bCs/>
                <w:color w:val="000000"/>
                <w:szCs w:val="24"/>
              </w:rPr>
              <w:t>0.02</w:t>
            </w:r>
          </w:p>
        </w:tc>
        <w:tc>
          <w:tcPr>
            <w:tcW w:w="744" w:type="pct"/>
            <w:noWrap/>
            <w:hideMark/>
          </w:tcPr>
          <w:p w14:paraId="1866A823" w14:textId="5536B3E6" w:rsidR="000302DF" w:rsidRPr="0019618A" w:rsidRDefault="000302DF" w:rsidP="000302DF">
            <w:pPr>
              <w:spacing w:before="40" w:after="40"/>
              <w:jc w:val="center"/>
              <w:rPr>
                <w:rFonts w:asciiTheme="minorBidi" w:hAnsiTheme="minorBidi" w:cstheme="minorBidi"/>
                <w:b/>
                <w:bCs/>
                <w:color w:val="000000"/>
                <w:szCs w:val="24"/>
              </w:rPr>
            </w:pPr>
            <w:r w:rsidRPr="0019618A">
              <w:rPr>
                <w:b/>
                <w:bCs/>
                <w:color w:val="000000"/>
                <w:szCs w:val="24"/>
              </w:rPr>
              <w:t>0.00</w:t>
            </w:r>
          </w:p>
        </w:tc>
      </w:tr>
      <w:tr w:rsidR="000302DF" w:rsidRPr="00EF0BA9" w14:paraId="73EA9539" w14:textId="77777777" w:rsidTr="003279BF">
        <w:tc>
          <w:tcPr>
            <w:tcW w:w="1261" w:type="pct"/>
            <w:noWrap/>
          </w:tcPr>
          <w:p w14:paraId="673ACF0C" w14:textId="618DAC1A" w:rsidR="000302DF" w:rsidRPr="0019618A" w:rsidRDefault="000302DF" w:rsidP="000302DF">
            <w:pPr>
              <w:spacing w:before="40" w:after="40"/>
              <w:rPr>
                <w:rFonts w:asciiTheme="minorBidi" w:hAnsiTheme="minorBidi" w:cstheme="minorBidi"/>
                <w:color w:val="000000"/>
                <w:szCs w:val="24"/>
              </w:rPr>
            </w:pPr>
            <w:r w:rsidRPr="0019618A">
              <w:rPr>
                <w:rFonts w:asciiTheme="minorBidi" w:hAnsiTheme="minorBidi" w:cstheme="minorBidi"/>
                <w:color w:val="000000"/>
                <w:szCs w:val="24"/>
              </w:rPr>
              <w:t>Low</w:t>
            </w:r>
          </w:p>
        </w:tc>
        <w:tc>
          <w:tcPr>
            <w:tcW w:w="749" w:type="pct"/>
            <w:noWrap/>
          </w:tcPr>
          <w:p w14:paraId="5625EC44" w14:textId="2EA06163" w:rsidR="000302DF" w:rsidRPr="004E59CE" w:rsidRDefault="000302DF" w:rsidP="000302DF">
            <w:pPr>
              <w:spacing w:before="40" w:after="40"/>
              <w:jc w:val="center"/>
              <w:rPr>
                <w:rFonts w:asciiTheme="minorBidi" w:hAnsiTheme="minorBidi" w:cstheme="minorBidi"/>
                <w:color w:val="000000"/>
                <w:szCs w:val="24"/>
              </w:rPr>
            </w:pPr>
            <w:r w:rsidRPr="004E59CE">
              <w:rPr>
                <w:color w:val="000000"/>
                <w:szCs w:val="24"/>
              </w:rPr>
              <w:t>0.02</w:t>
            </w:r>
          </w:p>
        </w:tc>
        <w:tc>
          <w:tcPr>
            <w:tcW w:w="749" w:type="pct"/>
            <w:noWrap/>
          </w:tcPr>
          <w:p w14:paraId="07E5DA41" w14:textId="59C4DCD8" w:rsidR="000302DF" w:rsidRPr="004E59CE" w:rsidRDefault="000302DF" w:rsidP="000302DF">
            <w:pPr>
              <w:spacing w:before="40" w:after="40"/>
              <w:jc w:val="center"/>
              <w:rPr>
                <w:rFonts w:asciiTheme="minorBidi" w:hAnsiTheme="minorBidi" w:cstheme="minorBidi"/>
                <w:color w:val="000000"/>
                <w:szCs w:val="24"/>
              </w:rPr>
            </w:pPr>
            <w:r w:rsidRPr="004E59CE">
              <w:rPr>
                <w:color w:val="000000"/>
                <w:szCs w:val="24"/>
              </w:rPr>
              <w:t>0.00</w:t>
            </w:r>
          </w:p>
        </w:tc>
        <w:tc>
          <w:tcPr>
            <w:tcW w:w="749" w:type="pct"/>
            <w:noWrap/>
          </w:tcPr>
          <w:p w14:paraId="17F29228" w14:textId="7059280D" w:rsidR="000302DF" w:rsidRPr="004E59CE" w:rsidRDefault="000302DF" w:rsidP="000302DF">
            <w:pPr>
              <w:spacing w:before="40" w:after="40"/>
              <w:jc w:val="center"/>
              <w:rPr>
                <w:rFonts w:asciiTheme="minorBidi" w:hAnsiTheme="minorBidi" w:cstheme="minorBidi"/>
                <w:color w:val="000000"/>
                <w:szCs w:val="24"/>
              </w:rPr>
            </w:pPr>
            <w:r w:rsidRPr="004E59CE">
              <w:rPr>
                <w:color w:val="000000"/>
                <w:szCs w:val="24"/>
              </w:rPr>
              <w:t>0.02</w:t>
            </w:r>
          </w:p>
        </w:tc>
        <w:tc>
          <w:tcPr>
            <w:tcW w:w="749" w:type="pct"/>
            <w:noWrap/>
          </w:tcPr>
          <w:p w14:paraId="4FDDD841" w14:textId="276275E8" w:rsidR="000302DF" w:rsidRPr="004E59CE" w:rsidRDefault="000302DF" w:rsidP="000302DF">
            <w:pPr>
              <w:spacing w:before="40" w:after="40"/>
              <w:jc w:val="center"/>
              <w:rPr>
                <w:rFonts w:asciiTheme="minorBidi" w:hAnsiTheme="minorBidi" w:cstheme="minorBidi"/>
                <w:color w:val="000000"/>
                <w:szCs w:val="24"/>
              </w:rPr>
            </w:pPr>
            <w:r w:rsidRPr="004E59CE">
              <w:rPr>
                <w:color w:val="000000"/>
                <w:szCs w:val="24"/>
              </w:rPr>
              <w:t>0.02</w:t>
            </w:r>
          </w:p>
        </w:tc>
        <w:tc>
          <w:tcPr>
            <w:tcW w:w="744" w:type="pct"/>
            <w:noWrap/>
          </w:tcPr>
          <w:p w14:paraId="0CBE19A5" w14:textId="07521070" w:rsidR="000302DF" w:rsidRPr="004E59CE" w:rsidRDefault="000302DF" w:rsidP="000302DF">
            <w:pPr>
              <w:spacing w:before="40" w:after="40"/>
              <w:jc w:val="center"/>
              <w:rPr>
                <w:rFonts w:asciiTheme="minorBidi" w:hAnsiTheme="minorBidi" w:cstheme="minorBidi"/>
                <w:color w:val="000000"/>
                <w:szCs w:val="24"/>
              </w:rPr>
            </w:pPr>
            <w:r w:rsidRPr="004E59CE">
              <w:rPr>
                <w:color w:val="000000"/>
                <w:szCs w:val="24"/>
              </w:rPr>
              <w:t>0.00</w:t>
            </w:r>
          </w:p>
        </w:tc>
      </w:tr>
      <w:tr w:rsidR="000302DF" w:rsidRPr="00EF0BA9" w14:paraId="6BB039C2" w14:textId="77777777" w:rsidTr="003279BF">
        <w:tc>
          <w:tcPr>
            <w:tcW w:w="1261" w:type="pct"/>
            <w:noWrap/>
          </w:tcPr>
          <w:p w14:paraId="17D0F825" w14:textId="1ED28222" w:rsidR="000302DF" w:rsidRPr="0019618A" w:rsidRDefault="000302DF" w:rsidP="000302DF">
            <w:pPr>
              <w:spacing w:before="40" w:after="40"/>
              <w:rPr>
                <w:rFonts w:asciiTheme="minorBidi" w:hAnsiTheme="minorBidi" w:cstheme="minorBidi"/>
                <w:color w:val="000000"/>
                <w:szCs w:val="24"/>
              </w:rPr>
            </w:pPr>
            <w:r w:rsidRPr="0019618A">
              <w:rPr>
                <w:rFonts w:asciiTheme="minorBidi" w:hAnsiTheme="minorBidi" w:cstheme="minorBidi"/>
                <w:color w:val="000000"/>
                <w:szCs w:val="24"/>
              </w:rPr>
              <w:t>High</w:t>
            </w:r>
          </w:p>
        </w:tc>
        <w:tc>
          <w:tcPr>
            <w:tcW w:w="749" w:type="pct"/>
            <w:noWrap/>
          </w:tcPr>
          <w:p w14:paraId="46CC72CA" w14:textId="724D5347" w:rsidR="000302DF" w:rsidRPr="004E59CE" w:rsidRDefault="000302DF" w:rsidP="000302DF">
            <w:pPr>
              <w:spacing w:before="40" w:after="40"/>
              <w:jc w:val="center"/>
              <w:rPr>
                <w:color w:val="000000"/>
                <w:szCs w:val="24"/>
              </w:rPr>
            </w:pPr>
            <w:r w:rsidRPr="004E59CE">
              <w:rPr>
                <w:color w:val="000000"/>
                <w:szCs w:val="24"/>
              </w:rPr>
              <w:t>0.02</w:t>
            </w:r>
          </w:p>
        </w:tc>
        <w:tc>
          <w:tcPr>
            <w:tcW w:w="749" w:type="pct"/>
            <w:noWrap/>
          </w:tcPr>
          <w:p w14:paraId="2C5C96EF" w14:textId="1B80CCA5" w:rsidR="000302DF" w:rsidRPr="004E59CE" w:rsidRDefault="000302DF" w:rsidP="000302DF">
            <w:pPr>
              <w:spacing w:before="40" w:after="40"/>
              <w:jc w:val="center"/>
              <w:rPr>
                <w:color w:val="000000"/>
                <w:szCs w:val="24"/>
              </w:rPr>
            </w:pPr>
            <w:r w:rsidRPr="004E59CE">
              <w:rPr>
                <w:color w:val="000000"/>
                <w:szCs w:val="24"/>
              </w:rPr>
              <w:t>0.00</w:t>
            </w:r>
          </w:p>
        </w:tc>
        <w:tc>
          <w:tcPr>
            <w:tcW w:w="749" w:type="pct"/>
            <w:noWrap/>
          </w:tcPr>
          <w:p w14:paraId="771729B6" w14:textId="3737A78A" w:rsidR="000302DF" w:rsidRPr="004E59CE" w:rsidRDefault="000302DF" w:rsidP="000302DF">
            <w:pPr>
              <w:spacing w:before="40" w:after="40"/>
              <w:jc w:val="center"/>
              <w:rPr>
                <w:color w:val="000000"/>
                <w:szCs w:val="24"/>
              </w:rPr>
            </w:pPr>
            <w:r w:rsidRPr="004E59CE">
              <w:rPr>
                <w:color w:val="000000"/>
                <w:szCs w:val="24"/>
              </w:rPr>
              <w:t>0.02</w:t>
            </w:r>
          </w:p>
        </w:tc>
        <w:tc>
          <w:tcPr>
            <w:tcW w:w="749" w:type="pct"/>
            <w:noWrap/>
          </w:tcPr>
          <w:p w14:paraId="4EA8119E" w14:textId="6D232B8D" w:rsidR="000302DF" w:rsidRPr="004E59CE" w:rsidRDefault="000302DF" w:rsidP="000302DF">
            <w:pPr>
              <w:spacing w:before="40" w:after="40"/>
              <w:jc w:val="center"/>
              <w:rPr>
                <w:color w:val="000000"/>
                <w:szCs w:val="24"/>
              </w:rPr>
            </w:pPr>
            <w:r w:rsidRPr="004E59CE">
              <w:rPr>
                <w:color w:val="000000"/>
                <w:szCs w:val="24"/>
              </w:rPr>
              <w:t>0.02</w:t>
            </w:r>
          </w:p>
        </w:tc>
        <w:tc>
          <w:tcPr>
            <w:tcW w:w="744" w:type="pct"/>
            <w:noWrap/>
          </w:tcPr>
          <w:p w14:paraId="20B8C6D2" w14:textId="794AB8EE" w:rsidR="000302DF" w:rsidRPr="004E59CE" w:rsidRDefault="000302DF" w:rsidP="000302DF">
            <w:pPr>
              <w:spacing w:before="40" w:after="40"/>
              <w:jc w:val="center"/>
              <w:rPr>
                <w:color w:val="000000"/>
                <w:szCs w:val="24"/>
              </w:rPr>
            </w:pPr>
            <w:r w:rsidRPr="004E59CE">
              <w:rPr>
                <w:color w:val="000000"/>
                <w:szCs w:val="24"/>
              </w:rPr>
              <w:t>0.00</w:t>
            </w:r>
          </w:p>
        </w:tc>
      </w:tr>
      <w:tr w:rsidR="000302DF" w:rsidRPr="00EF0BA9" w14:paraId="1611E615" w14:textId="77777777" w:rsidTr="003279BF">
        <w:tc>
          <w:tcPr>
            <w:tcW w:w="1261" w:type="pct"/>
            <w:noWrap/>
          </w:tcPr>
          <w:p w14:paraId="1453BB4D" w14:textId="61846A2A" w:rsidR="000302DF" w:rsidRPr="0019618A" w:rsidRDefault="000302DF" w:rsidP="000302DF">
            <w:pPr>
              <w:spacing w:before="40" w:after="40"/>
              <w:rPr>
                <w:rFonts w:asciiTheme="minorBidi" w:hAnsiTheme="minorBidi" w:cstheme="minorBidi"/>
                <w:b/>
                <w:bCs/>
                <w:color w:val="000000"/>
                <w:szCs w:val="24"/>
              </w:rPr>
            </w:pPr>
            <w:r w:rsidRPr="0019618A">
              <w:rPr>
                <w:rFonts w:asciiTheme="minorBidi" w:hAnsiTheme="minorBidi" w:cstheme="minorBidi"/>
                <w:b/>
                <w:bCs/>
                <w:color w:val="000000"/>
                <w:szCs w:val="24"/>
              </w:rPr>
              <w:t>Additional Enquiries</w:t>
            </w:r>
            <w:r w:rsidR="006D1CB9" w:rsidRPr="0019618A">
              <w:rPr>
                <w:rStyle w:val="FootnoteReference"/>
                <w:rFonts w:asciiTheme="minorBidi" w:hAnsiTheme="minorBidi"/>
                <w:b/>
                <w:bCs/>
                <w:color w:val="000000"/>
                <w:sz w:val="24"/>
                <w:szCs w:val="24"/>
              </w:rPr>
              <w:footnoteReference w:id="28"/>
            </w:r>
          </w:p>
        </w:tc>
        <w:tc>
          <w:tcPr>
            <w:tcW w:w="749" w:type="pct"/>
            <w:noWrap/>
          </w:tcPr>
          <w:p w14:paraId="6B453F2E" w14:textId="46AEBCC4" w:rsidR="000302DF" w:rsidRPr="0019618A" w:rsidRDefault="000302DF" w:rsidP="000302DF">
            <w:pPr>
              <w:spacing w:before="40" w:after="40"/>
              <w:jc w:val="center"/>
              <w:rPr>
                <w:b/>
                <w:bCs/>
                <w:color w:val="000000"/>
                <w:szCs w:val="24"/>
              </w:rPr>
            </w:pPr>
            <w:r w:rsidRPr="0019618A">
              <w:rPr>
                <w:b/>
                <w:bCs/>
                <w:color w:val="000000"/>
                <w:szCs w:val="24"/>
              </w:rPr>
              <w:t>0.00</w:t>
            </w:r>
          </w:p>
        </w:tc>
        <w:tc>
          <w:tcPr>
            <w:tcW w:w="749" w:type="pct"/>
            <w:noWrap/>
          </w:tcPr>
          <w:p w14:paraId="5A95A91E" w14:textId="10A5DBE2" w:rsidR="000302DF" w:rsidRPr="0019618A" w:rsidRDefault="000302DF" w:rsidP="000302DF">
            <w:pPr>
              <w:spacing w:before="40" w:after="40"/>
              <w:jc w:val="center"/>
              <w:rPr>
                <w:b/>
                <w:bCs/>
                <w:color w:val="000000"/>
                <w:szCs w:val="24"/>
              </w:rPr>
            </w:pPr>
            <w:r w:rsidRPr="0019618A">
              <w:rPr>
                <w:b/>
                <w:bCs/>
                <w:color w:val="000000"/>
                <w:szCs w:val="24"/>
              </w:rPr>
              <w:t>0.00</w:t>
            </w:r>
          </w:p>
        </w:tc>
        <w:tc>
          <w:tcPr>
            <w:tcW w:w="749" w:type="pct"/>
            <w:noWrap/>
          </w:tcPr>
          <w:p w14:paraId="3A85C2D5" w14:textId="50084D97" w:rsidR="000302DF" w:rsidRPr="0019618A" w:rsidRDefault="000302DF" w:rsidP="000302DF">
            <w:pPr>
              <w:spacing w:before="40" w:after="40"/>
              <w:jc w:val="center"/>
              <w:rPr>
                <w:b/>
                <w:bCs/>
                <w:color w:val="000000"/>
                <w:szCs w:val="24"/>
              </w:rPr>
            </w:pPr>
            <w:r w:rsidRPr="0019618A">
              <w:rPr>
                <w:b/>
                <w:bCs/>
                <w:color w:val="000000"/>
                <w:szCs w:val="24"/>
              </w:rPr>
              <w:t>0.00</w:t>
            </w:r>
          </w:p>
        </w:tc>
        <w:tc>
          <w:tcPr>
            <w:tcW w:w="749" w:type="pct"/>
            <w:noWrap/>
          </w:tcPr>
          <w:p w14:paraId="3890448A" w14:textId="2675BA79" w:rsidR="000302DF" w:rsidRPr="0019618A" w:rsidRDefault="000302DF" w:rsidP="000302DF">
            <w:pPr>
              <w:spacing w:before="40" w:after="40"/>
              <w:jc w:val="center"/>
              <w:rPr>
                <w:b/>
                <w:bCs/>
                <w:color w:val="000000"/>
                <w:szCs w:val="24"/>
              </w:rPr>
            </w:pPr>
            <w:r w:rsidRPr="0019618A">
              <w:rPr>
                <w:b/>
                <w:bCs/>
                <w:color w:val="000000"/>
                <w:szCs w:val="24"/>
              </w:rPr>
              <w:t>0.00</w:t>
            </w:r>
          </w:p>
        </w:tc>
        <w:tc>
          <w:tcPr>
            <w:tcW w:w="744" w:type="pct"/>
            <w:noWrap/>
          </w:tcPr>
          <w:p w14:paraId="11A22FD6" w14:textId="713BDF1B" w:rsidR="000302DF" w:rsidRPr="0019618A" w:rsidRDefault="000302DF" w:rsidP="000302DF">
            <w:pPr>
              <w:spacing w:before="40" w:after="40"/>
              <w:jc w:val="center"/>
              <w:rPr>
                <w:b/>
                <w:bCs/>
                <w:color w:val="000000"/>
                <w:szCs w:val="24"/>
              </w:rPr>
            </w:pPr>
            <w:r w:rsidRPr="0019618A">
              <w:rPr>
                <w:b/>
                <w:bCs/>
                <w:color w:val="000000"/>
                <w:szCs w:val="24"/>
              </w:rPr>
              <w:t>0.00</w:t>
            </w:r>
          </w:p>
        </w:tc>
      </w:tr>
      <w:tr w:rsidR="00823DB0" w:rsidRPr="00EF0BA9" w14:paraId="73B0B3C9" w14:textId="77777777" w:rsidTr="003279BF">
        <w:tc>
          <w:tcPr>
            <w:tcW w:w="1261" w:type="pct"/>
            <w:noWrap/>
            <w:hideMark/>
          </w:tcPr>
          <w:p w14:paraId="096B9416" w14:textId="77777777" w:rsidR="00823DB0" w:rsidRPr="0019618A" w:rsidRDefault="00823DB0" w:rsidP="00823DB0">
            <w:pPr>
              <w:spacing w:before="40" w:after="40"/>
              <w:rPr>
                <w:rFonts w:asciiTheme="minorBidi" w:hAnsiTheme="minorBidi" w:cstheme="minorBidi"/>
                <w:b/>
                <w:bCs/>
                <w:color w:val="000000"/>
                <w:szCs w:val="24"/>
              </w:rPr>
            </w:pPr>
            <w:r w:rsidRPr="0019618A">
              <w:rPr>
                <w:rFonts w:asciiTheme="minorBidi" w:hAnsiTheme="minorBidi" w:cstheme="minorBidi"/>
                <w:b/>
                <w:bCs/>
                <w:color w:val="000000"/>
                <w:szCs w:val="24"/>
              </w:rPr>
              <w:t>Total costs FSA</w:t>
            </w:r>
          </w:p>
        </w:tc>
        <w:tc>
          <w:tcPr>
            <w:tcW w:w="749" w:type="pct"/>
            <w:noWrap/>
            <w:hideMark/>
          </w:tcPr>
          <w:p w14:paraId="7F1CC483" w14:textId="4427C015" w:rsidR="00823DB0" w:rsidRPr="0019618A" w:rsidRDefault="00AF167F" w:rsidP="00823DB0">
            <w:pPr>
              <w:spacing w:before="40" w:after="40"/>
              <w:jc w:val="center"/>
              <w:rPr>
                <w:rFonts w:asciiTheme="minorBidi" w:hAnsiTheme="minorBidi" w:cstheme="minorBidi"/>
                <w:b/>
                <w:bCs/>
                <w:color w:val="000000"/>
                <w:szCs w:val="24"/>
              </w:rPr>
            </w:pPr>
            <w:r w:rsidRPr="0019618A">
              <w:rPr>
                <w:b/>
                <w:color w:val="000000"/>
                <w:szCs w:val="24"/>
              </w:rPr>
              <w:t>£</w:t>
            </w:r>
            <w:r w:rsidR="00823DB0" w:rsidRPr="0019618A">
              <w:rPr>
                <w:b/>
                <w:color w:val="000000"/>
                <w:szCs w:val="24"/>
              </w:rPr>
              <w:t>0.</w:t>
            </w:r>
            <w:r w:rsidR="00823DB0" w:rsidRPr="0019618A">
              <w:rPr>
                <w:b/>
                <w:bCs/>
                <w:color w:val="000000"/>
                <w:szCs w:val="24"/>
              </w:rPr>
              <w:t>02</w:t>
            </w:r>
            <w:r w:rsidRPr="0019618A">
              <w:rPr>
                <w:b/>
                <w:bCs/>
                <w:color w:val="000000"/>
                <w:szCs w:val="24"/>
              </w:rPr>
              <w:t>m</w:t>
            </w:r>
          </w:p>
        </w:tc>
        <w:tc>
          <w:tcPr>
            <w:tcW w:w="749" w:type="pct"/>
            <w:noWrap/>
            <w:hideMark/>
          </w:tcPr>
          <w:p w14:paraId="0DABE275" w14:textId="220BE2DE" w:rsidR="00823DB0" w:rsidRPr="0019618A" w:rsidRDefault="00AF167F" w:rsidP="00823DB0">
            <w:pPr>
              <w:spacing w:before="40" w:after="40"/>
              <w:jc w:val="center"/>
              <w:rPr>
                <w:rFonts w:asciiTheme="minorBidi" w:hAnsiTheme="minorBidi" w:cstheme="minorBidi"/>
                <w:b/>
                <w:bCs/>
                <w:color w:val="000000"/>
                <w:szCs w:val="24"/>
              </w:rPr>
            </w:pPr>
            <w:r w:rsidRPr="0019618A">
              <w:rPr>
                <w:b/>
                <w:color w:val="000000"/>
                <w:szCs w:val="24"/>
              </w:rPr>
              <w:t>£</w:t>
            </w:r>
            <w:r w:rsidR="00823DB0" w:rsidRPr="0019618A">
              <w:rPr>
                <w:b/>
                <w:color w:val="000000"/>
                <w:szCs w:val="24"/>
              </w:rPr>
              <w:t>0.00</w:t>
            </w:r>
            <w:r w:rsidRPr="0019618A">
              <w:rPr>
                <w:b/>
                <w:color w:val="000000"/>
                <w:szCs w:val="24"/>
              </w:rPr>
              <w:t>m</w:t>
            </w:r>
          </w:p>
        </w:tc>
        <w:tc>
          <w:tcPr>
            <w:tcW w:w="749" w:type="pct"/>
            <w:noWrap/>
            <w:hideMark/>
          </w:tcPr>
          <w:p w14:paraId="161B6891" w14:textId="3E53AEE0" w:rsidR="00823DB0" w:rsidRPr="0019618A" w:rsidRDefault="00AF167F" w:rsidP="00823DB0">
            <w:pPr>
              <w:spacing w:before="40" w:after="40"/>
              <w:jc w:val="center"/>
              <w:rPr>
                <w:rFonts w:asciiTheme="minorBidi" w:hAnsiTheme="minorBidi" w:cstheme="minorBidi"/>
                <w:b/>
                <w:bCs/>
                <w:color w:val="000000"/>
                <w:szCs w:val="24"/>
              </w:rPr>
            </w:pPr>
            <w:r w:rsidRPr="0019618A">
              <w:rPr>
                <w:b/>
                <w:color w:val="000000"/>
                <w:szCs w:val="24"/>
              </w:rPr>
              <w:t>£</w:t>
            </w:r>
            <w:r w:rsidR="00823DB0" w:rsidRPr="0019618A">
              <w:rPr>
                <w:b/>
                <w:color w:val="000000"/>
                <w:szCs w:val="24"/>
              </w:rPr>
              <w:t>0.</w:t>
            </w:r>
            <w:r w:rsidR="00823DB0" w:rsidRPr="0019618A">
              <w:rPr>
                <w:b/>
                <w:bCs/>
                <w:color w:val="000000"/>
                <w:szCs w:val="24"/>
              </w:rPr>
              <w:t>02</w:t>
            </w:r>
            <w:r w:rsidRPr="0019618A">
              <w:rPr>
                <w:b/>
                <w:bCs/>
                <w:color w:val="000000"/>
                <w:szCs w:val="24"/>
              </w:rPr>
              <w:t>m</w:t>
            </w:r>
          </w:p>
        </w:tc>
        <w:tc>
          <w:tcPr>
            <w:tcW w:w="749" w:type="pct"/>
            <w:noWrap/>
            <w:hideMark/>
          </w:tcPr>
          <w:p w14:paraId="34872FC9" w14:textId="57D5E14E" w:rsidR="00823DB0" w:rsidRPr="0019618A" w:rsidRDefault="00AF167F" w:rsidP="00823DB0">
            <w:pPr>
              <w:spacing w:before="40" w:after="40"/>
              <w:jc w:val="center"/>
              <w:rPr>
                <w:rFonts w:asciiTheme="minorBidi" w:hAnsiTheme="minorBidi" w:cstheme="minorBidi"/>
                <w:b/>
                <w:bCs/>
                <w:color w:val="000000"/>
                <w:szCs w:val="24"/>
              </w:rPr>
            </w:pPr>
            <w:r w:rsidRPr="0019618A">
              <w:rPr>
                <w:b/>
                <w:color w:val="000000"/>
                <w:szCs w:val="24"/>
              </w:rPr>
              <w:t>£</w:t>
            </w:r>
            <w:r w:rsidR="00823DB0" w:rsidRPr="0019618A">
              <w:rPr>
                <w:b/>
                <w:color w:val="000000"/>
                <w:szCs w:val="24"/>
              </w:rPr>
              <w:t>0.</w:t>
            </w:r>
            <w:r w:rsidR="00823DB0" w:rsidRPr="0019618A">
              <w:rPr>
                <w:b/>
                <w:bCs/>
                <w:color w:val="000000"/>
                <w:szCs w:val="24"/>
              </w:rPr>
              <w:t>02</w:t>
            </w:r>
            <w:r w:rsidRPr="0019618A">
              <w:rPr>
                <w:b/>
                <w:bCs/>
                <w:color w:val="000000"/>
                <w:szCs w:val="24"/>
              </w:rPr>
              <w:t>m</w:t>
            </w:r>
          </w:p>
        </w:tc>
        <w:tc>
          <w:tcPr>
            <w:tcW w:w="744" w:type="pct"/>
            <w:noWrap/>
            <w:hideMark/>
          </w:tcPr>
          <w:p w14:paraId="4140F2D5" w14:textId="5AD30D6A" w:rsidR="00823DB0" w:rsidRPr="0019618A" w:rsidRDefault="00AF167F" w:rsidP="00823DB0">
            <w:pPr>
              <w:spacing w:before="40" w:after="40"/>
              <w:jc w:val="center"/>
              <w:rPr>
                <w:rFonts w:asciiTheme="minorBidi" w:hAnsiTheme="minorBidi" w:cstheme="minorBidi"/>
                <w:b/>
                <w:bCs/>
                <w:color w:val="000000"/>
                <w:szCs w:val="24"/>
              </w:rPr>
            </w:pPr>
            <w:r w:rsidRPr="0019618A">
              <w:rPr>
                <w:b/>
                <w:color w:val="000000"/>
                <w:szCs w:val="24"/>
              </w:rPr>
              <w:t>£</w:t>
            </w:r>
            <w:r w:rsidR="00823DB0" w:rsidRPr="0019618A">
              <w:rPr>
                <w:b/>
                <w:color w:val="000000"/>
                <w:szCs w:val="24"/>
              </w:rPr>
              <w:t>0.</w:t>
            </w:r>
            <w:r w:rsidR="00823DB0" w:rsidRPr="0019618A">
              <w:rPr>
                <w:b/>
                <w:bCs/>
                <w:color w:val="000000"/>
                <w:szCs w:val="24"/>
              </w:rPr>
              <w:t>00</w:t>
            </w:r>
            <w:r w:rsidRPr="0019618A">
              <w:rPr>
                <w:b/>
                <w:bCs/>
                <w:color w:val="000000"/>
                <w:szCs w:val="24"/>
              </w:rPr>
              <w:t>m</w:t>
            </w:r>
          </w:p>
        </w:tc>
      </w:tr>
      <w:tr w:rsidR="00823DB0" w:rsidRPr="00EF0BA9" w14:paraId="0AEC95FB" w14:textId="77777777" w:rsidTr="003279BF">
        <w:tc>
          <w:tcPr>
            <w:tcW w:w="1261" w:type="pct"/>
            <w:noWrap/>
            <w:hideMark/>
          </w:tcPr>
          <w:p w14:paraId="5CEE2120" w14:textId="77777777" w:rsidR="00823DB0" w:rsidRPr="0019618A" w:rsidRDefault="00823DB0" w:rsidP="00823DB0">
            <w:pPr>
              <w:spacing w:before="40" w:after="40"/>
              <w:rPr>
                <w:rFonts w:asciiTheme="minorBidi" w:hAnsiTheme="minorBidi" w:cstheme="minorBidi"/>
                <w:color w:val="000000"/>
                <w:szCs w:val="24"/>
              </w:rPr>
            </w:pPr>
            <w:r w:rsidRPr="0019618A">
              <w:rPr>
                <w:rFonts w:asciiTheme="minorBidi" w:hAnsiTheme="minorBidi" w:cstheme="minorBidi"/>
                <w:color w:val="000000"/>
                <w:szCs w:val="24"/>
              </w:rPr>
              <w:t>Low</w:t>
            </w:r>
          </w:p>
        </w:tc>
        <w:tc>
          <w:tcPr>
            <w:tcW w:w="749" w:type="pct"/>
            <w:noWrap/>
            <w:hideMark/>
          </w:tcPr>
          <w:p w14:paraId="3679B340" w14:textId="4400B13B" w:rsidR="00823DB0" w:rsidRPr="0019618A" w:rsidRDefault="00AF167F" w:rsidP="00823DB0">
            <w:pPr>
              <w:spacing w:before="40" w:after="40"/>
              <w:jc w:val="center"/>
              <w:rPr>
                <w:rFonts w:asciiTheme="minorBidi" w:hAnsiTheme="minorBidi" w:cstheme="minorBidi"/>
                <w:b/>
                <w:bCs/>
                <w:color w:val="000000"/>
                <w:szCs w:val="24"/>
              </w:rPr>
            </w:pPr>
            <w:r w:rsidRPr="0019618A">
              <w:rPr>
                <w:color w:val="000000"/>
                <w:szCs w:val="24"/>
              </w:rPr>
              <w:t>£</w:t>
            </w:r>
            <w:r w:rsidR="00823DB0" w:rsidRPr="0019618A">
              <w:rPr>
                <w:color w:val="000000"/>
                <w:szCs w:val="24"/>
              </w:rPr>
              <w:t>0.02</w:t>
            </w:r>
            <w:r w:rsidRPr="0019618A">
              <w:rPr>
                <w:color w:val="000000"/>
                <w:szCs w:val="24"/>
              </w:rPr>
              <w:t>m</w:t>
            </w:r>
          </w:p>
        </w:tc>
        <w:tc>
          <w:tcPr>
            <w:tcW w:w="749" w:type="pct"/>
            <w:noWrap/>
            <w:hideMark/>
          </w:tcPr>
          <w:p w14:paraId="75DE63EE" w14:textId="3D0B326B" w:rsidR="00823DB0" w:rsidRPr="0019618A" w:rsidRDefault="00AF167F" w:rsidP="00823DB0">
            <w:pPr>
              <w:spacing w:before="40" w:after="40"/>
              <w:jc w:val="center"/>
              <w:rPr>
                <w:rFonts w:asciiTheme="minorBidi" w:hAnsiTheme="minorBidi" w:cstheme="minorBidi"/>
                <w:b/>
                <w:bCs/>
                <w:color w:val="000000"/>
                <w:szCs w:val="24"/>
              </w:rPr>
            </w:pPr>
            <w:r w:rsidRPr="0019618A">
              <w:rPr>
                <w:color w:val="000000"/>
                <w:szCs w:val="24"/>
              </w:rPr>
              <w:t>£</w:t>
            </w:r>
            <w:r w:rsidR="00823DB0" w:rsidRPr="0019618A">
              <w:rPr>
                <w:color w:val="000000"/>
                <w:szCs w:val="24"/>
              </w:rPr>
              <w:t>0.00</w:t>
            </w:r>
            <w:r w:rsidRPr="0019618A">
              <w:rPr>
                <w:color w:val="000000"/>
                <w:szCs w:val="24"/>
              </w:rPr>
              <w:t>m</w:t>
            </w:r>
          </w:p>
        </w:tc>
        <w:tc>
          <w:tcPr>
            <w:tcW w:w="749" w:type="pct"/>
            <w:noWrap/>
            <w:hideMark/>
          </w:tcPr>
          <w:p w14:paraId="6FAC9ED0" w14:textId="2B689D9E" w:rsidR="00823DB0" w:rsidRPr="0019618A" w:rsidRDefault="00AF167F" w:rsidP="00823DB0">
            <w:pPr>
              <w:spacing w:before="40" w:after="40"/>
              <w:jc w:val="center"/>
              <w:rPr>
                <w:rFonts w:asciiTheme="minorBidi" w:hAnsiTheme="minorBidi" w:cstheme="minorBidi"/>
                <w:b/>
                <w:bCs/>
                <w:color w:val="000000"/>
                <w:szCs w:val="24"/>
              </w:rPr>
            </w:pPr>
            <w:r w:rsidRPr="0019618A">
              <w:rPr>
                <w:color w:val="000000"/>
                <w:szCs w:val="24"/>
              </w:rPr>
              <w:t>£</w:t>
            </w:r>
            <w:r w:rsidR="00823DB0" w:rsidRPr="0019618A">
              <w:rPr>
                <w:color w:val="000000"/>
                <w:szCs w:val="24"/>
              </w:rPr>
              <w:t>0.02</w:t>
            </w:r>
            <w:r w:rsidRPr="0019618A">
              <w:rPr>
                <w:color w:val="000000"/>
                <w:szCs w:val="24"/>
              </w:rPr>
              <w:t>m</w:t>
            </w:r>
          </w:p>
        </w:tc>
        <w:tc>
          <w:tcPr>
            <w:tcW w:w="749" w:type="pct"/>
            <w:noWrap/>
            <w:hideMark/>
          </w:tcPr>
          <w:p w14:paraId="4C558D6B" w14:textId="43314FF1" w:rsidR="00823DB0" w:rsidRPr="0019618A" w:rsidRDefault="00AF167F" w:rsidP="00823DB0">
            <w:pPr>
              <w:spacing w:before="40" w:after="40"/>
              <w:jc w:val="center"/>
              <w:rPr>
                <w:rFonts w:asciiTheme="minorBidi" w:hAnsiTheme="minorBidi" w:cstheme="minorBidi"/>
                <w:b/>
                <w:bCs/>
                <w:color w:val="000000"/>
                <w:szCs w:val="24"/>
              </w:rPr>
            </w:pPr>
            <w:r w:rsidRPr="0019618A">
              <w:rPr>
                <w:color w:val="000000"/>
                <w:szCs w:val="24"/>
              </w:rPr>
              <w:t>£</w:t>
            </w:r>
            <w:r w:rsidR="00823DB0" w:rsidRPr="0019618A">
              <w:rPr>
                <w:color w:val="000000"/>
                <w:szCs w:val="24"/>
              </w:rPr>
              <w:t>0.02</w:t>
            </w:r>
            <w:r w:rsidRPr="0019618A">
              <w:rPr>
                <w:color w:val="000000"/>
                <w:szCs w:val="24"/>
              </w:rPr>
              <w:t>m</w:t>
            </w:r>
          </w:p>
        </w:tc>
        <w:tc>
          <w:tcPr>
            <w:tcW w:w="744" w:type="pct"/>
            <w:noWrap/>
            <w:hideMark/>
          </w:tcPr>
          <w:p w14:paraId="091F2574" w14:textId="6DB66F33" w:rsidR="00823DB0" w:rsidRPr="0019618A" w:rsidRDefault="00AF167F" w:rsidP="00823DB0">
            <w:pPr>
              <w:spacing w:before="40" w:after="40"/>
              <w:jc w:val="center"/>
              <w:rPr>
                <w:rFonts w:asciiTheme="minorBidi" w:hAnsiTheme="minorBidi" w:cstheme="minorBidi"/>
                <w:b/>
                <w:bCs/>
                <w:color w:val="000000"/>
                <w:szCs w:val="24"/>
              </w:rPr>
            </w:pPr>
            <w:r w:rsidRPr="0019618A">
              <w:rPr>
                <w:color w:val="000000"/>
                <w:szCs w:val="24"/>
              </w:rPr>
              <w:t>£</w:t>
            </w:r>
            <w:r w:rsidR="00823DB0" w:rsidRPr="0019618A">
              <w:rPr>
                <w:color w:val="000000"/>
                <w:szCs w:val="24"/>
              </w:rPr>
              <w:t>0.00</w:t>
            </w:r>
            <w:r w:rsidRPr="0019618A">
              <w:rPr>
                <w:color w:val="000000"/>
                <w:szCs w:val="24"/>
              </w:rPr>
              <w:t>m</w:t>
            </w:r>
          </w:p>
        </w:tc>
      </w:tr>
      <w:tr w:rsidR="00823DB0" w:rsidRPr="00EF0BA9" w14:paraId="75725378" w14:textId="77777777" w:rsidTr="003279BF">
        <w:tc>
          <w:tcPr>
            <w:tcW w:w="1261" w:type="pct"/>
            <w:noWrap/>
            <w:hideMark/>
          </w:tcPr>
          <w:p w14:paraId="3142728F" w14:textId="77777777" w:rsidR="00823DB0" w:rsidRPr="0019618A" w:rsidRDefault="00823DB0" w:rsidP="00823DB0">
            <w:pPr>
              <w:spacing w:before="40" w:after="40"/>
              <w:rPr>
                <w:rFonts w:asciiTheme="minorBidi" w:hAnsiTheme="minorBidi" w:cstheme="minorBidi"/>
                <w:color w:val="000000"/>
                <w:szCs w:val="24"/>
              </w:rPr>
            </w:pPr>
            <w:r w:rsidRPr="0019618A">
              <w:rPr>
                <w:rFonts w:asciiTheme="minorBidi" w:hAnsiTheme="minorBidi" w:cstheme="minorBidi"/>
                <w:color w:val="000000"/>
                <w:szCs w:val="24"/>
              </w:rPr>
              <w:t>High</w:t>
            </w:r>
          </w:p>
        </w:tc>
        <w:tc>
          <w:tcPr>
            <w:tcW w:w="749" w:type="pct"/>
            <w:noWrap/>
            <w:hideMark/>
          </w:tcPr>
          <w:p w14:paraId="5D31B083" w14:textId="699C08D6" w:rsidR="00823DB0" w:rsidRPr="0019618A" w:rsidRDefault="00AF167F" w:rsidP="00823DB0">
            <w:pPr>
              <w:spacing w:before="40" w:after="40"/>
              <w:jc w:val="center"/>
              <w:rPr>
                <w:rFonts w:asciiTheme="minorBidi" w:hAnsiTheme="minorBidi" w:cstheme="minorBidi"/>
                <w:b/>
                <w:bCs/>
                <w:color w:val="000000"/>
                <w:szCs w:val="24"/>
              </w:rPr>
            </w:pPr>
            <w:r w:rsidRPr="0019618A">
              <w:rPr>
                <w:color w:val="000000"/>
                <w:szCs w:val="24"/>
              </w:rPr>
              <w:t>£</w:t>
            </w:r>
            <w:r w:rsidR="00823DB0" w:rsidRPr="0019618A">
              <w:rPr>
                <w:color w:val="000000"/>
                <w:szCs w:val="24"/>
              </w:rPr>
              <w:t>0.02</w:t>
            </w:r>
            <w:r w:rsidRPr="0019618A">
              <w:rPr>
                <w:color w:val="000000"/>
                <w:szCs w:val="24"/>
              </w:rPr>
              <w:t>m</w:t>
            </w:r>
          </w:p>
        </w:tc>
        <w:tc>
          <w:tcPr>
            <w:tcW w:w="749" w:type="pct"/>
            <w:noWrap/>
            <w:hideMark/>
          </w:tcPr>
          <w:p w14:paraId="564D8641" w14:textId="719A0F8E" w:rsidR="00823DB0" w:rsidRPr="0019618A" w:rsidRDefault="00AF167F" w:rsidP="00823DB0">
            <w:pPr>
              <w:spacing w:before="40" w:after="40"/>
              <w:jc w:val="center"/>
              <w:rPr>
                <w:rFonts w:asciiTheme="minorBidi" w:hAnsiTheme="minorBidi" w:cstheme="minorBidi"/>
                <w:b/>
                <w:bCs/>
                <w:color w:val="000000"/>
                <w:szCs w:val="24"/>
              </w:rPr>
            </w:pPr>
            <w:r w:rsidRPr="0019618A">
              <w:rPr>
                <w:color w:val="000000"/>
                <w:szCs w:val="24"/>
              </w:rPr>
              <w:t>£</w:t>
            </w:r>
            <w:r w:rsidR="00823DB0" w:rsidRPr="0019618A">
              <w:rPr>
                <w:color w:val="000000"/>
                <w:szCs w:val="24"/>
              </w:rPr>
              <w:t>0.00</w:t>
            </w:r>
            <w:r w:rsidRPr="0019618A">
              <w:rPr>
                <w:color w:val="000000"/>
                <w:szCs w:val="24"/>
              </w:rPr>
              <w:t>m</w:t>
            </w:r>
          </w:p>
        </w:tc>
        <w:tc>
          <w:tcPr>
            <w:tcW w:w="749" w:type="pct"/>
            <w:noWrap/>
            <w:hideMark/>
          </w:tcPr>
          <w:p w14:paraId="77243E55" w14:textId="677392DC" w:rsidR="00823DB0" w:rsidRPr="0019618A" w:rsidRDefault="00AF167F" w:rsidP="00823DB0">
            <w:pPr>
              <w:spacing w:before="40" w:after="40"/>
              <w:jc w:val="center"/>
              <w:rPr>
                <w:rFonts w:asciiTheme="minorBidi" w:hAnsiTheme="minorBidi" w:cstheme="minorBidi"/>
                <w:b/>
                <w:bCs/>
                <w:color w:val="000000"/>
                <w:szCs w:val="24"/>
              </w:rPr>
            </w:pPr>
            <w:r w:rsidRPr="0019618A">
              <w:rPr>
                <w:color w:val="000000"/>
                <w:szCs w:val="24"/>
              </w:rPr>
              <w:t>£</w:t>
            </w:r>
            <w:r w:rsidR="00823DB0" w:rsidRPr="0019618A">
              <w:rPr>
                <w:color w:val="000000"/>
                <w:szCs w:val="24"/>
              </w:rPr>
              <w:t>0.02</w:t>
            </w:r>
            <w:r w:rsidRPr="0019618A">
              <w:rPr>
                <w:color w:val="000000"/>
                <w:szCs w:val="24"/>
              </w:rPr>
              <w:t>m</w:t>
            </w:r>
          </w:p>
        </w:tc>
        <w:tc>
          <w:tcPr>
            <w:tcW w:w="749" w:type="pct"/>
            <w:noWrap/>
            <w:hideMark/>
          </w:tcPr>
          <w:p w14:paraId="44783119" w14:textId="55D4ABE3" w:rsidR="00823DB0" w:rsidRPr="0019618A" w:rsidRDefault="00AF167F" w:rsidP="00823DB0">
            <w:pPr>
              <w:spacing w:before="40" w:after="40"/>
              <w:jc w:val="center"/>
              <w:rPr>
                <w:rFonts w:asciiTheme="minorBidi" w:hAnsiTheme="minorBidi" w:cstheme="minorBidi"/>
                <w:b/>
                <w:bCs/>
                <w:color w:val="000000"/>
                <w:szCs w:val="24"/>
              </w:rPr>
            </w:pPr>
            <w:r w:rsidRPr="0019618A">
              <w:rPr>
                <w:color w:val="000000"/>
                <w:szCs w:val="24"/>
              </w:rPr>
              <w:t>£</w:t>
            </w:r>
            <w:r w:rsidR="00823DB0" w:rsidRPr="0019618A">
              <w:rPr>
                <w:color w:val="000000"/>
                <w:szCs w:val="24"/>
              </w:rPr>
              <w:t>0.02</w:t>
            </w:r>
            <w:r w:rsidRPr="0019618A">
              <w:rPr>
                <w:color w:val="000000"/>
                <w:szCs w:val="24"/>
              </w:rPr>
              <w:t>m</w:t>
            </w:r>
          </w:p>
        </w:tc>
        <w:tc>
          <w:tcPr>
            <w:tcW w:w="744" w:type="pct"/>
            <w:noWrap/>
            <w:hideMark/>
          </w:tcPr>
          <w:p w14:paraId="52006D6A" w14:textId="0AD4F39D" w:rsidR="00823DB0" w:rsidRPr="0019618A" w:rsidRDefault="00AF167F" w:rsidP="00823DB0">
            <w:pPr>
              <w:spacing w:before="40" w:after="40"/>
              <w:jc w:val="center"/>
              <w:rPr>
                <w:rFonts w:asciiTheme="minorBidi" w:hAnsiTheme="minorBidi" w:cstheme="minorBidi"/>
                <w:b/>
                <w:bCs/>
                <w:color w:val="000000"/>
                <w:szCs w:val="24"/>
              </w:rPr>
            </w:pPr>
            <w:r w:rsidRPr="0019618A">
              <w:rPr>
                <w:color w:val="000000"/>
                <w:szCs w:val="24"/>
              </w:rPr>
              <w:t>£</w:t>
            </w:r>
            <w:r w:rsidR="00823DB0" w:rsidRPr="0019618A">
              <w:rPr>
                <w:color w:val="000000"/>
                <w:szCs w:val="24"/>
              </w:rPr>
              <w:t>0.00</w:t>
            </w:r>
            <w:r w:rsidRPr="0019618A">
              <w:rPr>
                <w:color w:val="000000"/>
                <w:szCs w:val="24"/>
              </w:rPr>
              <w:t>m</w:t>
            </w:r>
          </w:p>
        </w:tc>
      </w:tr>
    </w:tbl>
    <w:p w14:paraId="3DF92C3D" w14:textId="77777777" w:rsidR="00524436" w:rsidRPr="004E323B" w:rsidRDefault="00524436" w:rsidP="00524436">
      <w:pPr>
        <w:tabs>
          <w:tab w:val="left" w:pos="7920"/>
        </w:tabs>
        <w:rPr>
          <w:b/>
          <w:sz w:val="22"/>
          <w:szCs w:val="22"/>
        </w:rPr>
      </w:pPr>
    </w:p>
    <w:p w14:paraId="2EB3D613" w14:textId="77777777" w:rsidR="00D50E30" w:rsidRDefault="00D50E30" w:rsidP="00524436">
      <w:pPr>
        <w:pStyle w:val="Caption"/>
        <w:keepNext/>
        <w:keepLines/>
        <w:rPr>
          <w:rFonts w:eastAsia="Arial"/>
          <w:b/>
          <w:bCs/>
          <w:i w:val="0"/>
          <w:iCs w:val="0"/>
          <w:color w:val="auto"/>
          <w:sz w:val="24"/>
          <w:szCs w:val="24"/>
          <w:lang w:val="en-US"/>
        </w:rPr>
      </w:pPr>
    </w:p>
    <w:p w14:paraId="1B22ED90" w14:textId="46DD3129" w:rsidR="00524436" w:rsidRPr="005413C5" w:rsidRDefault="00524436" w:rsidP="00524436">
      <w:pPr>
        <w:pStyle w:val="Caption"/>
        <w:keepNext/>
        <w:keepLines/>
        <w:rPr>
          <w:rFonts w:eastAsia="Arial"/>
          <w:b/>
          <w:bCs/>
          <w:i w:val="0"/>
          <w:iCs w:val="0"/>
          <w:color w:val="auto"/>
          <w:sz w:val="24"/>
          <w:szCs w:val="24"/>
          <w:lang w:val="en-US"/>
        </w:rPr>
      </w:pPr>
      <w:r w:rsidRPr="005413C5">
        <w:rPr>
          <w:rFonts w:eastAsia="Arial"/>
          <w:b/>
          <w:bCs/>
          <w:i w:val="0"/>
          <w:iCs w:val="0"/>
          <w:color w:val="auto"/>
          <w:sz w:val="24"/>
          <w:szCs w:val="24"/>
          <w:lang w:val="en-US"/>
        </w:rPr>
        <w:t xml:space="preserve">Table </w:t>
      </w:r>
      <w:r w:rsidR="006A0A7E" w:rsidRPr="005413C5">
        <w:rPr>
          <w:rFonts w:eastAsia="Arial"/>
          <w:b/>
          <w:bCs/>
          <w:i w:val="0"/>
          <w:iCs w:val="0"/>
          <w:color w:val="auto"/>
          <w:sz w:val="24"/>
          <w:szCs w:val="24"/>
          <w:lang w:val="en-US"/>
        </w:rPr>
        <w:t>3</w:t>
      </w:r>
      <w:r w:rsidRPr="005413C5">
        <w:rPr>
          <w:rFonts w:eastAsia="Arial"/>
          <w:b/>
          <w:bCs/>
          <w:i w:val="0"/>
          <w:iCs w:val="0"/>
          <w:color w:val="auto"/>
          <w:sz w:val="24"/>
          <w:szCs w:val="24"/>
          <w:lang w:val="en-US"/>
        </w:rPr>
        <w:t xml:space="preserve"> - Estimated costs of Option 2 to FBO/Industry, rounded to £m</w:t>
      </w:r>
    </w:p>
    <w:tbl>
      <w:tblPr>
        <w:tblStyle w:val="TableGrid"/>
        <w:tblW w:w="5000" w:type="pct"/>
        <w:tblLayout w:type="fixed"/>
        <w:tblLook w:val="04A0" w:firstRow="1" w:lastRow="0" w:firstColumn="1" w:lastColumn="0" w:noHBand="0" w:noVBand="1"/>
      </w:tblPr>
      <w:tblGrid>
        <w:gridCol w:w="2537"/>
        <w:gridCol w:w="1509"/>
        <w:gridCol w:w="1508"/>
        <w:gridCol w:w="1508"/>
        <w:gridCol w:w="1508"/>
        <w:gridCol w:w="1500"/>
      </w:tblGrid>
      <w:tr w:rsidR="00950320" w:rsidRPr="00950320" w14:paraId="39632E94" w14:textId="77777777" w:rsidTr="00950320">
        <w:tc>
          <w:tcPr>
            <w:tcW w:w="1259" w:type="pct"/>
            <w:shd w:val="clear" w:color="auto" w:fill="E2EFD9" w:themeFill="accent6" w:themeFillTint="33"/>
            <w:noWrap/>
            <w:hideMark/>
          </w:tcPr>
          <w:p w14:paraId="26007924" w14:textId="77777777" w:rsidR="00524436" w:rsidRPr="00950320" w:rsidRDefault="00524436" w:rsidP="00850286">
            <w:pPr>
              <w:keepNext/>
              <w:keepLines/>
              <w:spacing w:before="40" w:after="40"/>
              <w:rPr>
                <w:rFonts w:asciiTheme="minorBidi" w:hAnsiTheme="minorBidi" w:cstheme="minorBidi"/>
                <w:b/>
                <w:bCs/>
                <w:szCs w:val="24"/>
              </w:rPr>
            </w:pPr>
            <w:r w:rsidRPr="00950320">
              <w:rPr>
                <w:rFonts w:asciiTheme="minorBidi" w:hAnsiTheme="minorBidi" w:cstheme="minorBidi"/>
                <w:b/>
                <w:bCs/>
                <w:szCs w:val="24"/>
              </w:rPr>
              <w:t>FBO/Industry</w:t>
            </w:r>
          </w:p>
        </w:tc>
        <w:tc>
          <w:tcPr>
            <w:tcW w:w="749" w:type="pct"/>
            <w:shd w:val="clear" w:color="auto" w:fill="E2EFD9" w:themeFill="accent6" w:themeFillTint="33"/>
            <w:noWrap/>
            <w:hideMark/>
          </w:tcPr>
          <w:p w14:paraId="7B342D05" w14:textId="77777777" w:rsidR="00524436" w:rsidRPr="00950320" w:rsidRDefault="00524436" w:rsidP="00850286">
            <w:pPr>
              <w:keepNext/>
              <w:keepLines/>
              <w:spacing w:before="40" w:after="40"/>
              <w:jc w:val="center"/>
              <w:rPr>
                <w:rFonts w:asciiTheme="minorBidi" w:hAnsiTheme="minorBidi" w:cstheme="minorBidi"/>
                <w:b/>
                <w:bCs/>
                <w:szCs w:val="24"/>
              </w:rPr>
            </w:pPr>
            <w:r w:rsidRPr="00950320">
              <w:rPr>
                <w:rFonts w:asciiTheme="minorBidi" w:hAnsiTheme="minorBidi" w:cstheme="minorBidi"/>
                <w:b/>
                <w:bCs/>
                <w:szCs w:val="24"/>
              </w:rPr>
              <w:t xml:space="preserve">Total One-Off </w:t>
            </w:r>
          </w:p>
        </w:tc>
        <w:tc>
          <w:tcPr>
            <w:tcW w:w="749" w:type="pct"/>
            <w:shd w:val="clear" w:color="auto" w:fill="E2EFD9" w:themeFill="accent6" w:themeFillTint="33"/>
            <w:hideMark/>
          </w:tcPr>
          <w:p w14:paraId="1BB01BF2" w14:textId="77777777" w:rsidR="00524436" w:rsidRPr="00950320" w:rsidRDefault="00524436" w:rsidP="00850286">
            <w:pPr>
              <w:keepNext/>
              <w:keepLines/>
              <w:spacing w:before="40" w:after="40"/>
              <w:jc w:val="center"/>
              <w:rPr>
                <w:rFonts w:asciiTheme="minorBidi" w:hAnsiTheme="minorBidi" w:cstheme="minorBidi"/>
                <w:b/>
                <w:bCs/>
                <w:szCs w:val="24"/>
              </w:rPr>
            </w:pPr>
            <w:r w:rsidRPr="00950320">
              <w:rPr>
                <w:rFonts w:asciiTheme="minorBidi" w:hAnsiTheme="minorBidi" w:cstheme="minorBidi"/>
                <w:b/>
                <w:bCs/>
                <w:szCs w:val="24"/>
              </w:rPr>
              <w:t xml:space="preserve">Total Recurring </w:t>
            </w:r>
          </w:p>
        </w:tc>
        <w:tc>
          <w:tcPr>
            <w:tcW w:w="749" w:type="pct"/>
            <w:shd w:val="clear" w:color="auto" w:fill="E2EFD9" w:themeFill="accent6" w:themeFillTint="33"/>
            <w:hideMark/>
          </w:tcPr>
          <w:p w14:paraId="4E2CC198" w14:textId="77777777" w:rsidR="00524436" w:rsidRPr="00950320" w:rsidRDefault="00524436" w:rsidP="00850286">
            <w:pPr>
              <w:keepNext/>
              <w:keepLines/>
              <w:spacing w:before="40" w:after="40"/>
              <w:jc w:val="center"/>
              <w:rPr>
                <w:rFonts w:asciiTheme="minorBidi" w:hAnsiTheme="minorBidi" w:cstheme="minorBidi"/>
                <w:b/>
                <w:bCs/>
                <w:szCs w:val="24"/>
              </w:rPr>
            </w:pPr>
            <w:r w:rsidRPr="00950320">
              <w:rPr>
                <w:rFonts w:asciiTheme="minorBidi" w:hAnsiTheme="minorBidi" w:cstheme="minorBidi"/>
                <w:b/>
                <w:bCs/>
                <w:szCs w:val="24"/>
              </w:rPr>
              <w:t>Total</w:t>
            </w:r>
          </w:p>
        </w:tc>
        <w:tc>
          <w:tcPr>
            <w:tcW w:w="749" w:type="pct"/>
            <w:shd w:val="clear" w:color="auto" w:fill="E2EFD9" w:themeFill="accent6" w:themeFillTint="33"/>
            <w:hideMark/>
          </w:tcPr>
          <w:p w14:paraId="260BC447" w14:textId="7E1A8EAA" w:rsidR="00524436" w:rsidRPr="00950320" w:rsidRDefault="00524436" w:rsidP="00850286">
            <w:pPr>
              <w:keepNext/>
              <w:keepLines/>
              <w:spacing w:before="40" w:after="40"/>
              <w:jc w:val="center"/>
              <w:rPr>
                <w:rFonts w:asciiTheme="minorBidi" w:hAnsiTheme="minorBidi" w:cstheme="minorBidi"/>
                <w:b/>
                <w:bCs/>
                <w:szCs w:val="24"/>
              </w:rPr>
            </w:pPr>
            <w:r w:rsidRPr="00950320">
              <w:rPr>
                <w:rFonts w:asciiTheme="minorBidi" w:hAnsiTheme="minorBidi" w:cstheme="minorBidi"/>
                <w:b/>
                <w:bCs/>
                <w:szCs w:val="24"/>
              </w:rPr>
              <w:t>PV (2023 Base Year)</w:t>
            </w:r>
            <w:r w:rsidR="00300B5C" w:rsidRPr="00950320">
              <w:rPr>
                <w:rFonts w:asciiTheme="minorBidi" w:hAnsiTheme="minorBidi" w:cstheme="minorBidi"/>
                <w:b/>
                <w:bCs/>
                <w:szCs w:val="24"/>
              </w:rPr>
              <w:t xml:space="preserve"> Total</w:t>
            </w:r>
          </w:p>
        </w:tc>
        <w:tc>
          <w:tcPr>
            <w:tcW w:w="746" w:type="pct"/>
            <w:shd w:val="clear" w:color="auto" w:fill="E2EFD9" w:themeFill="accent6" w:themeFillTint="33"/>
            <w:hideMark/>
          </w:tcPr>
          <w:p w14:paraId="2C75AC63" w14:textId="77777777" w:rsidR="00524436" w:rsidRPr="00950320" w:rsidRDefault="00524436" w:rsidP="00850286">
            <w:pPr>
              <w:keepNext/>
              <w:keepLines/>
              <w:spacing w:before="40" w:after="40"/>
              <w:jc w:val="center"/>
              <w:rPr>
                <w:rFonts w:asciiTheme="minorBidi" w:hAnsiTheme="minorBidi" w:cstheme="minorBidi"/>
                <w:b/>
                <w:bCs/>
                <w:szCs w:val="24"/>
              </w:rPr>
            </w:pPr>
            <w:r w:rsidRPr="00950320">
              <w:rPr>
                <w:rFonts w:asciiTheme="minorBidi" w:hAnsiTheme="minorBidi" w:cstheme="minorBidi"/>
                <w:b/>
                <w:bCs/>
                <w:szCs w:val="24"/>
              </w:rPr>
              <w:t>Annual Equivalent</w:t>
            </w:r>
          </w:p>
        </w:tc>
      </w:tr>
      <w:tr w:rsidR="003326C0" w:rsidRPr="00EF0BA9" w14:paraId="67DB5575" w14:textId="77777777" w:rsidTr="00950320">
        <w:tc>
          <w:tcPr>
            <w:tcW w:w="1259" w:type="pct"/>
            <w:noWrap/>
            <w:hideMark/>
          </w:tcPr>
          <w:p w14:paraId="2CFEAAB9" w14:textId="77777777" w:rsidR="003326C0" w:rsidRPr="005413C5" w:rsidRDefault="003326C0" w:rsidP="003326C0">
            <w:pPr>
              <w:spacing w:before="40" w:after="40"/>
              <w:rPr>
                <w:rFonts w:asciiTheme="minorBidi" w:hAnsiTheme="minorBidi" w:cstheme="minorBidi"/>
                <w:b/>
                <w:bCs/>
                <w:color w:val="000000"/>
                <w:szCs w:val="24"/>
              </w:rPr>
            </w:pPr>
            <w:r w:rsidRPr="005413C5">
              <w:rPr>
                <w:rFonts w:asciiTheme="minorBidi" w:hAnsiTheme="minorBidi" w:cstheme="minorBidi"/>
                <w:b/>
                <w:bCs/>
                <w:color w:val="000000"/>
                <w:szCs w:val="24"/>
              </w:rPr>
              <w:t>Familiarisation</w:t>
            </w:r>
          </w:p>
        </w:tc>
        <w:tc>
          <w:tcPr>
            <w:tcW w:w="749" w:type="pct"/>
            <w:noWrap/>
            <w:hideMark/>
          </w:tcPr>
          <w:p w14:paraId="40E85592" w14:textId="18F901CD" w:rsidR="003326C0" w:rsidRPr="005413C5" w:rsidRDefault="003326C0" w:rsidP="003326C0">
            <w:pPr>
              <w:spacing w:before="40" w:after="40"/>
              <w:jc w:val="center"/>
              <w:rPr>
                <w:rFonts w:asciiTheme="minorBidi" w:hAnsiTheme="minorBidi" w:cstheme="minorBidi"/>
                <w:b/>
                <w:bCs/>
                <w:color w:val="000000"/>
                <w:szCs w:val="24"/>
              </w:rPr>
            </w:pPr>
            <w:r w:rsidRPr="005413C5">
              <w:rPr>
                <w:b/>
                <w:bCs/>
                <w:color w:val="000000"/>
                <w:szCs w:val="24"/>
              </w:rPr>
              <w:t>0.10</w:t>
            </w:r>
          </w:p>
        </w:tc>
        <w:tc>
          <w:tcPr>
            <w:tcW w:w="749" w:type="pct"/>
            <w:noWrap/>
            <w:hideMark/>
          </w:tcPr>
          <w:p w14:paraId="2C279E21" w14:textId="1C122436" w:rsidR="003326C0" w:rsidRPr="005413C5" w:rsidRDefault="003326C0" w:rsidP="003326C0">
            <w:pPr>
              <w:spacing w:before="40" w:after="40"/>
              <w:jc w:val="center"/>
              <w:rPr>
                <w:rFonts w:asciiTheme="minorBidi" w:hAnsiTheme="minorBidi" w:cstheme="minorBidi"/>
                <w:b/>
                <w:bCs/>
                <w:color w:val="000000"/>
                <w:szCs w:val="24"/>
              </w:rPr>
            </w:pPr>
            <w:r w:rsidRPr="005413C5">
              <w:rPr>
                <w:b/>
                <w:bCs/>
                <w:color w:val="000000"/>
                <w:szCs w:val="24"/>
              </w:rPr>
              <w:t>0.00</w:t>
            </w:r>
          </w:p>
        </w:tc>
        <w:tc>
          <w:tcPr>
            <w:tcW w:w="749" w:type="pct"/>
            <w:noWrap/>
            <w:hideMark/>
          </w:tcPr>
          <w:p w14:paraId="06EA1489" w14:textId="53BD5FF1" w:rsidR="003326C0" w:rsidRPr="005413C5" w:rsidRDefault="003326C0" w:rsidP="003326C0">
            <w:pPr>
              <w:spacing w:before="40" w:after="40"/>
              <w:jc w:val="center"/>
              <w:rPr>
                <w:rFonts w:asciiTheme="minorBidi" w:hAnsiTheme="minorBidi" w:cstheme="minorBidi"/>
                <w:b/>
                <w:bCs/>
                <w:color w:val="000000"/>
                <w:szCs w:val="24"/>
              </w:rPr>
            </w:pPr>
            <w:r w:rsidRPr="005413C5">
              <w:rPr>
                <w:b/>
                <w:bCs/>
                <w:color w:val="000000"/>
                <w:szCs w:val="24"/>
              </w:rPr>
              <w:t>0.10</w:t>
            </w:r>
          </w:p>
        </w:tc>
        <w:tc>
          <w:tcPr>
            <w:tcW w:w="749" w:type="pct"/>
            <w:noWrap/>
            <w:hideMark/>
          </w:tcPr>
          <w:p w14:paraId="5D227641" w14:textId="2F59ABE6" w:rsidR="003326C0" w:rsidRPr="005413C5" w:rsidRDefault="003326C0" w:rsidP="003326C0">
            <w:pPr>
              <w:spacing w:before="40" w:after="40"/>
              <w:jc w:val="center"/>
              <w:rPr>
                <w:rFonts w:asciiTheme="minorBidi" w:hAnsiTheme="minorBidi" w:cstheme="minorBidi"/>
                <w:b/>
                <w:bCs/>
                <w:color w:val="000000"/>
                <w:szCs w:val="24"/>
              </w:rPr>
            </w:pPr>
            <w:r w:rsidRPr="005413C5">
              <w:rPr>
                <w:b/>
                <w:bCs/>
                <w:color w:val="000000"/>
                <w:szCs w:val="24"/>
              </w:rPr>
              <w:t>0.10</w:t>
            </w:r>
          </w:p>
        </w:tc>
        <w:tc>
          <w:tcPr>
            <w:tcW w:w="746" w:type="pct"/>
            <w:noWrap/>
            <w:hideMark/>
          </w:tcPr>
          <w:p w14:paraId="0E1F7515" w14:textId="763AECE5" w:rsidR="003326C0" w:rsidRPr="005413C5" w:rsidRDefault="003326C0" w:rsidP="003326C0">
            <w:pPr>
              <w:spacing w:before="40" w:after="40"/>
              <w:jc w:val="center"/>
              <w:rPr>
                <w:rFonts w:asciiTheme="minorBidi" w:hAnsiTheme="minorBidi" w:cstheme="minorBidi"/>
                <w:b/>
                <w:bCs/>
                <w:color w:val="000000"/>
                <w:szCs w:val="24"/>
              </w:rPr>
            </w:pPr>
            <w:r w:rsidRPr="005413C5">
              <w:rPr>
                <w:b/>
                <w:bCs/>
                <w:color w:val="000000"/>
                <w:szCs w:val="24"/>
              </w:rPr>
              <w:t>0.01</w:t>
            </w:r>
          </w:p>
        </w:tc>
      </w:tr>
      <w:tr w:rsidR="003326C0" w:rsidRPr="00EF0BA9" w14:paraId="30B76F48" w14:textId="77777777" w:rsidTr="00950320">
        <w:tc>
          <w:tcPr>
            <w:tcW w:w="1259" w:type="pct"/>
            <w:noWrap/>
            <w:hideMark/>
          </w:tcPr>
          <w:p w14:paraId="646A577F" w14:textId="77777777" w:rsidR="003326C0" w:rsidRPr="005413C5" w:rsidRDefault="003326C0" w:rsidP="003326C0">
            <w:pPr>
              <w:spacing w:before="40" w:after="40"/>
              <w:rPr>
                <w:rFonts w:asciiTheme="minorBidi" w:hAnsiTheme="minorBidi" w:cstheme="minorBidi"/>
                <w:b/>
                <w:bCs/>
                <w:color w:val="000000"/>
                <w:szCs w:val="24"/>
              </w:rPr>
            </w:pPr>
            <w:r w:rsidRPr="005413C5">
              <w:rPr>
                <w:rFonts w:asciiTheme="minorBidi" w:hAnsiTheme="minorBidi" w:cstheme="minorBidi"/>
                <w:b/>
                <w:bCs/>
                <w:color w:val="000000"/>
                <w:szCs w:val="24"/>
              </w:rPr>
              <w:t>Updating online facilities</w:t>
            </w:r>
          </w:p>
        </w:tc>
        <w:tc>
          <w:tcPr>
            <w:tcW w:w="749" w:type="pct"/>
            <w:noWrap/>
            <w:hideMark/>
          </w:tcPr>
          <w:p w14:paraId="5EAB95DA" w14:textId="6A44A843" w:rsidR="003326C0" w:rsidRPr="005413C5" w:rsidRDefault="003326C0" w:rsidP="003326C0">
            <w:pPr>
              <w:spacing w:before="40" w:after="40"/>
              <w:jc w:val="center"/>
              <w:rPr>
                <w:rFonts w:asciiTheme="minorBidi" w:hAnsiTheme="minorBidi" w:cstheme="minorBidi"/>
                <w:b/>
                <w:bCs/>
                <w:color w:val="000000"/>
                <w:szCs w:val="24"/>
              </w:rPr>
            </w:pPr>
            <w:r w:rsidRPr="005413C5">
              <w:rPr>
                <w:b/>
                <w:bCs/>
                <w:color w:val="000000"/>
                <w:szCs w:val="24"/>
              </w:rPr>
              <w:t>0.66</w:t>
            </w:r>
          </w:p>
        </w:tc>
        <w:tc>
          <w:tcPr>
            <w:tcW w:w="749" w:type="pct"/>
            <w:noWrap/>
            <w:hideMark/>
          </w:tcPr>
          <w:p w14:paraId="77A0A98E" w14:textId="55315893" w:rsidR="003326C0" w:rsidRPr="005413C5" w:rsidRDefault="003326C0" w:rsidP="003326C0">
            <w:pPr>
              <w:spacing w:before="40" w:after="40"/>
              <w:jc w:val="center"/>
              <w:rPr>
                <w:rFonts w:asciiTheme="minorBidi" w:hAnsiTheme="minorBidi" w:cstheme="minorBidi"/>
                <w:b/>
                <w:bCs/>
                <w:color w:val="000000"/>
                <w:szCs w:val="24"/>
              </w:rPr>
            </w:pPr>
            <w:r w:rsidRPr="005413C5">
              <w:rPr>
                <w:b/>
                <w:bCs/>
                <w:color w:val="000000"/>
                <w:szCs w:val="24"/>
              </w:rPr>
              <w:t>0.00</w:t>
            </w:r>
          </w:p>
        </w:tc>
        <w:tc>
          <w:tcPr>
            <w:tcW w:w="749" w:type="pct"/>
            <w:noWrap/>
            <w:hideMark/>
          </w:tcPr>
          <w:p w14:paraId="699592DC" w14:textId="1DB2D323" w:rsidR="003326C0" w:rsidRPr="005413C5" w:rsidRDefault="003326C0" w:rsidP="003326C0">
            <w:pPr>
              <w:spacing w:before="40" w:after="40"/>
              <w:jc w:val="center"/>
              <w:rPr>
                <w:rFonts w:asciiTheme="minorBidi" w:hAnsiTheme="minorBidi" w:cstheme="minorBidi"/>
                <w:b/>
                <w:bCs/>
                <w:color w:val="000000"/>
                <w:szCs w:val="24"/>
              </w:rPr>
            </w:pPr>
            <w:r w:rsidRPr="005413C5">
              <w:rPr>
                <w:b/>
                <w:bCs/>
                <w:color w:val="000000"/>
                <w:szCs w:val="24"/>
              </w:rPr>
              <w:t>0.66</w:t>
            </w:r>
          </w:p>
        </w:tc>
        <w:tc>
          <w:tcPr>
            <w:tcW w:w="749" w:type="pct"/>
            <w:noWrap/>
            <w:hideMark/>
          </w:tcPr>
          <w:p w14:paraId="2A2FFFE1" w14:textId="622636C5" w:rsidR="003326C0" w:rsidRPr="005413C5" w:rsidRDefault="003326C0" w:rsidP="003326C0">
            <w:pPr>
              <w:spacing w:before="40" w:after="40"/>
              <w:jc w:val="center"/>
              <w:rPr>
                <w:rFonts w:asciiTheme="minorBidi" w:hAnsiTheme="minorBidi" w:cstheme="minorBidi"/>
                <w:b/>
                <w:bCs/>
                <w:color w:val="000000"/>
                <w:szCs w:val="24"/>
              </w:rPr>
            </w:pPr>
            <w:r w:rsidRPr="005413C5">
              <w:rPr>
                <w:b/>
                <w:bCs/>
                <w:color w:val="000000"/>
                <w:szCs w:val="24"/>
              </w:rPr>
              <w:t>0.66</w:t>
            </w:r>
          </w:p>
        </w:tc>
        <w:tc>
          <w:tcPr>
            <w:tcW w:w="746" w:type="pct"/>
            <w:noWrap/>
            <w:hideMark/>
          </w:tcPr>
          <w:p w14:paraId="0E781B2E" w14:textId="538A8FAD" w:rsidR="003326C0" w:rsidRPr="005413C5" w:rsidRDefault="003326C0" w:rsidP="003326C0">
            <w:pPr>
              <w:spacing w:before="40" w:after="40"/>
              <w:jc w:val="center"/>
              <w:rPr>
                <w:rFonts w:asciiTheme="minorBidi" w:hAnsiTheme="minorBidi" w:cstheme="minorBidi"/>
                <w:b/>
                <w:bCs/>
                <w:color w:val="000000"/>
                <w:szCs w:val="24"/>
              </w:rPr>
            </w:pPr>
            <w:r w:rsidRPr="005413C5">
              <w:rPr>
                <w:b/>
                <w:bCs/>
                <w:color w:val="000000"/>
                <w:szCs w:val="24"/>
              </w:rPr>
              <w:t>0.08</w:t>
            </w:r>
          </w:p>
        </w:tc>
      </w:tr>
      <w:tr w:rsidR="003326C0" w:rsidRPr="00EF0BA9" w14:paraId="7E6F6645" w14:textId="77777777" w:rsidTr="00950320">
        <w:tc>
          <w:tcPr>
            <w:tcW w:w="1259" w:type="pct"/>
            <w:noWrap/>
          </w:tcPr>
          <w:p w14:paraId="1232E320" w14:textId="170B7174" w:rsidR="003326C0" w:rsidRPr="005413C5" w:rsidRDefault="003326C0" w:rsidP="003326C0">
            <w:pPr>
              <w:spacing w:before="40" w:after="40"/>
              <w:rPr>
                <w:rFonts w:asciiTheme="minorBidi" w:hAnsiTheme="minorBidi" w:cstheme="minorBidi"/>
                <w:color w:val="000000"/>
                <w:szCs w:val="24"/>
              </w:rPr>
            </w:pPr>
            <w:r w:rsidRPr="005413C5">
              <w:rPr>
                <w:rFonts w:asciiTheme="minorBidi" w:hAnsiTheme="minorBidi" w:cstheme="minorBidi"/>
                <w:color w:val="000000"/>
                <w:szCs w:val="24"/>
              </w:rPr>
              <w:t>Low</w:t>
            </w:r>
          </w:p>
        </w:tc>
        <w:tc>
          <w:tcPr>
            <w:tcW w:w="749" w:type="pct"/>
            <w:noWrap/>
          </w:tcPr>
          <w:p w14:paraId="453FEDEF" w14:textId="05B6C6E1" w:rsidR="003326C0" w:rsidRPr="005A32F8" w:rsidRDefault="003326C0" w:rsidP="003326C0">
            <w:pPr>
              <w:spacing w:before="40" w:after="40"/>
              <w:jc w:val="center"/>
              <w:rPr>
                <w:color w:val="000000"/>
                <w:szCs w:val="24"/>
              </w:rPr>
            </w:pPr>
            <w:r w:rsidRPr="005A32F8">
              <w:rPr>
                <w:color w:val="000000"/>
                <w:szCs w:val="24"/>
              </w:rPr>
              <w:t>0.59</w:t>
            </w:r>
          </w:p>
        </w:tc>
        <w:tc>
          <w:tcPr>
            <w:tcW w:w="749" w:type="pct"/>
            <w:noWrap/>
          </w:tcPr>
          <w:p w14:paraId="4097C337" w14:textId="4FF84FD9" w:rsidR="003326C0" w:rsidRPr="005A32F8" w:rsidRDefault="003326C0" w:rsidP="003326C0">
            <w:pPr>
              <w:spacing w:before="40" w:after="40"/>
              <w:jc w:val="center"/>
              <w:rPr>
                <w:color w:val="000000"/>
                <w:szCs w:val="24"/>
              </w:rPr>
            </w:pPr>
            <w:r w:rsidRPr="005A32F8">
              <w:rPr>
                <w:color w:val="000000"/>
                <w:szCs w:val="24"/>
              </w:rPr>
              <w:t>0.00</w:t>
            </w:r>
          </w:p>
        </w:tc>
        <w:tc>
          <w:tcPr>
            <w:tcW w:w="749" w:type="pct"/>
            <w:noWrap/>
          </w:tcPr>
          <w:p w14:paraId="1928E335" w14:textId="041C14D2" w:rsidR="003326C0" w:rsidRPr="005A32F8" w:rsidRDefault="003326C0" w:rsidP="003326C0">
            <w:pPr>
              <w:spacing w:before="40" w:after="40"/>
              <w:jc w:val="center"/>
              <w:rPr>
                <w:color w:val="000000"/>
                <w:szCs w:val="24"/>
              </w:rPr>
            </w:pPr>
            <w:r w:rsidRPr="005A32F8">
              <w:rPr>
                <w:color w:val="000000"/>
                <w:szCs w:val="24"/>
              </w:rPr>
              <w:t>0.59</w:t>
            </w:r>
          </w:p>
        </w:tc>
        <w:tc>
          <w:tcPr>
            <w:tcW w:w="749" w:type="pct"/>
            <w:noWrap/>
          </w:tcPr>
          <w:p w14:paraId="50A13401" w14:textId="44577FB9" w:rsidR="003326C0" w:rsidRPr="005A32F8" w:rsidRDefault="003326C0" w:rsidP="003326C0">
            <w:pPr>
              <w:spacing w:before="40" w:after="40"/>
              <w:jc w:val="center"/>
              <w:rPr>
                <w:color w:val="000000"/>
                <w:szCs w:val="24"/>
              </w:rPr>
            </w:pPr>
            <w:r w:rsidRPr="005A32F8">
              <w:rPr>
                <w:color w:val="000000"/>
                <w:szCs w:val="24"/>
              </w:rPr>
              <w:t>0.59</w:t>
            </w:r>
          </w:p>
        </w:tc>
        <w:tc>
          <w:tcPr>
            <w:tcW w:w="746" w:type="pct"/>
            <w:noWrap/>
          </w:tcPr>
          <w:p w14:paraId="5354FCB4" w14:textId="6BCBC854" w:rsidR="003326C0" w:rsidRPr="005A32F8" w:rsidRDefault="003326C0" w:rsidP="003326C0">
            <w:pPr>
              <w:spacing w:before="40" w:after="40"/>
              <w:jc w:val="center"/>
              <w:rPr>
                <w:color w:val="000000"/>
                <w:szCs w:val="24"/>
              </w:rPr>
            </w:pPr>
            <w:r w:rsidRPr="005A32F8">
              <w:rPr>
                <w:color w:val="000000"/>
                <w:szCs w:val="24"/>
              </w:rPr>
              <w:t>0.07</w:t>
            </w:r>
          </w:p>
        </w:tc>
      </w:tr>
      <w:tr w:rsidR="003326C0" w:rsidRPr="00EF0BA9" w14:paraId="5E29EB39" w14:textId="77777777" w:rsidTr="00950320">
        <w:tc>
          <w:tcPr>
            <w:tcW w:w="1259" w:type="pct"/>
            <w:noWrap/>
          </w:tcPr>
          <w:p w14:paraId="37B7B118" w14:textId="53BA01E6" w:rsidR="003326C0" w:rsidRPr="005413C5" w:rsidRDefault="003326C0" w:rsidP="003326C0">
            <w:pPr>
              <w:spacing w:before="40" w:after="40"/>
              <w:rPr>
                <w:rFonts w:asciiTheme="minorBidi" w:hAnsiTheme="minorBidi" w:cstheme="minorBidi"/>
                <w:color w:val="000000"/>
                <w:szCs w:val="24"/>
              </w:rPr>
            </w:pPr>
            <w:r w:rsidRPr="005413C5">
              <w:rPr>
                <w:rFonts w:asciiTheme="minorBidi" w:hAnsiTheme="minorBidi" w:cstheme="minorBidi"/>
                <w:color w:val="000000"/>
                <w:szCs w:val="24"/>
              </w:rPr>
              <w:t>High</w:t>
            </w:r>
          </w:p>
        </w:tc>
        <w:tc>
          <w:tcPr>
            <w:tcW w:w="749" w:type="pct"/>
            <w:noWrap/>
          </w:tcPr>
          <w:p w14:paraId="1D11B166" w14:textId="03D11C7B" w:rsidR="003326C0" w:rsidRPr="005A32F8" w:rsidRDefault="003326C0" w:rsidP="003326C0">
            <w:pPr>
              <w:spacing w:before="40" w:after="40"/>
              <w:jc w:val="center"/>
              <w:rPr>
                <w:color w:val="000000"/>
                <w:szCs w:val="24"/>
              </w:rPr>
            </w:pPr>
            <w:r w:rsidRPr="005A32F8">
              <w:rPr>
                <w:color w:val="000000"/>
                <w:szCs w:val="24"/>
              </w:rPr>
              <w:t>0.72</w:t>
            </w:r>
          </w:p>
        </w:tc>
        <w:tc>
          <w:tcPr>
            <w:tcW w:w="749" w:type="pct"/>
            <w:noWrap/>
          </w:tcPr>
          <w:p w14:paraId="4ACF5B10" w14:textId="083E45C5" w:rsidR="003326C0" w:rsidRPr="005A32F8" w:rsidRDefault="003326C0" w:rsidP="003326C0">
            <w:pPr>
              <w:spacing w:before="40" w:after="40"/>
              <w:jc w:val="center"/>
              <w:rPr>
                <w:color w:val="000000"/>
                <w:szCs w:val="24"/>
              </w:rPr>
            </w:pPr>
            <w:r w:rsidRPr="005A32F8">
              <w:rPr>
                <w:color w:val="000000"/>
                <w:szCs w:val="24"/>
              </w:rPr>
              <w:t>0.00</w:t>
            </w:r>
          </w:p>
        </w:tc>
        <w:tc>
          <w:tcPr>
            <w:tcW w:w="749" w:type="pct"/>
            <w:noWrap/>
          </w:tcPr>
          <w:p w14:paraId="0FE559D2" w14:textId="58075B0D" w:rsidR="003326C0" w:rsidRPr="005A32F8" w:rsidRDefault="003326C0" w:rsidP="003326C0">
            <w:pPr>
              <w:spacing w:before="40" w:after="40"/>
              <w:jc w:val="center"/>
              <w:rPr>
                <w:color w:val="000000"/>
                <w:szCs w:val="24"/>
              </w:rPr>
            </w:pPr>
            <w:r w:rsidRPr="005A32F8">
              <w:rPr>
                <w:color w:val="000000"/>
                <w:szCs w:val="24"/>
              </w:rPr>
              <w:t>0.72</w:t>
            </w:r>
          </w:p>
        </w:tc>
        <w:tc>
          <w:tcPr>
            <w:tcW w:w="749" w:type="pct"/>
            <w:noWrap/>
          </w:tcPr>
          <w:p w14:paraId="6CB37B11" w14:textId="2D3CDC50" w:rsidR="003326C0" w:rsidRPr="005A32F8" w:rsidRDefault="003326C0" w:rsidP="003326C0">
            <w:pPr>
              <w:spacing w:before="40" w:after="40"/>
              <w:jc w:val="center"/>
              <w:rPr>
                <w:color w:val="000000"/>
                <w:szCs w:val="24"/>
              </w:rPr>
            </w:pPr>
            <w:r w:rsidRPr="005A32F8">
              <w:rPr>
                <w:color w:val="000000"/>
                <w:szCs w:val="24"/>
              </w:rPr>
              <w:t>0.72</w:t>
            </w:r>
          </w:p>
        </w:tc>
        <w:tc>
          <w:tcPr>
            <w:tcW w:w="746" w:type="pct"/>
            <w:noWrap/>
          </w:tcPr>
          <w:p w14:paraId="3C853AB4" w14:textId="12DCB3B2" w:rsidR="003326C0" w:rsidRPr="005A32F8" w:rsidRDefault="003326C0" w:rsidP="003326C0">
            <w:pPr>
              <w:spacing w:before="40" w:after="40"/>
              <w:jc w:val="center"/>
              <w:rPr>
                <w:color w:val="000000"/>
                <w:szCs w:val="24"/>
              </w:rPr>
            </w:pPr>
            <w:r w:rsidRPr="005A32F8">
              <w:rPr>
                <w:color w:val="000000"/>
                <w:szCs w:val="24"/>
              </w:rPr>
              <w:t>0.08</w:t>
            </w:r>
          </w:p>
        </w:tc>
      </w:tr>
      <w:tr w:rsidR="003326C0" w:rsidRPr="00EF0BA9" w14:paraId="18A85EF0" w14:textId="77777777" w:rsidTr="00950320">
        <w:tc>
          <w:tcPr>
            <w:tcW w:w="1259" w:type="pct"/>
            <w:noWrap/>
          </w:tcPr>
          <w:p w14:paraId="22746799" w14:textId="116BDBA0" w:rsidR="003326C0" w:rsidRPr="005413C5" w:rsidRDefault="003326C0" w:rsidP="003326C0">
            <w:pPr>
              <w:spacing w:before="40" w:after="40"/>
              <w:rPr>
                <w:rFonts w:asciiTheme="minorBidi" w:hAnsiTheme="minorBidi" w:cstheme="minorBidi"/>
                <w:b/>
                <w:bCs/>
                <w:color w:val="000000"/>
                <w:szCs w:val="24"/>
              </w:rPr>
            </w:pPr>
            <w:r w:rsidRPr="005413C5">
              <w:rPr>
                <w:rFonts w:asciiTheme="minorBidi" w:hAnsiTheme="minorBidi" w:cstheme="minorBidi"/>
                <w:b/>
                <w:bCs/>
                <w:color w:val="000000"/>
                <w:szCs w:val="24"/>
              </w:rPr>
              <w:t>Re-ratings</w:t>
            </w:r>
            <w:r w:rsidR="006D1CB9" w:rsidRPr="005413C5">
              <w:rPr>
                <w:rStyle w:val="FootnoteReference"/>
                <w:rFonts w:asciiTheme="minorBidi" w:hAnsiTheme="minorBidi"/>
                <w:b/>
                <w:bCs/>
                <w:color w:val="000000"/>
                <w:sz w:val="24"/>
                <w:szCs w:val="24"/>
              </w:rPr>
              <w:footnoteReference w:id="29"/>
            </w:r>
          </w:p>
        </w:tc>
        <w:tc>
          <w:tcPr>
            <w:tcW w:w="749" w:type="pct"/>
            <w:noWrap/>
          </w:tcPr>
          <w:p w14:paraId="66B729A7" w14:textId="37E663D8" w:rsidR="003326C0" w:rsidRPr="005413C5" w:rsidRDefault="003326C0" w:rsidP="003326C0">
            <w:pPr>
              <w:spacing w:before="40" w:after="40"/>
              <w:jc w:val="center"/>
              <w:rPr>
                <w:b/>
                <w:bCs/>
                <w:color w:val="000000"/>
                <w:szCs w:val="24"/>
              </w:rPr>
            </w:pPr>
            <w:r w:rsidRPr="005413C5">
              <w:rPr>
                <w:b/>
                <w:bCs/>
                <w:color w:val="000000"/>
                <w:szCs w:val="24"/>
              </w:rPr>
              <w:t>0.00</w:t>
            </w:r>
          </w:p>
        </w:tc>
        <w:tc>
          <w:tcPr>
            <w:tcW w:w="749" w:type="pct"/>
            <w:noWrap/>
          </w:tcPr>
          <w:p w14:paraId="1BC5DA0A" w14:textId="1C912771" w:rsidR="003326C0" w:rsidRPr="005413C5" w:rsidRDefault="003326C0" w:rsidP="003326C0">
            <w:pPr>
              <w:spacing w:before="40" w:after="40"/>
              <w:jc w:val="center"/>
              <w:rPr>
                <w:b/>
                <w:bCs/>
                <w:color w:val="000000"/>
                <w:szCs w:val="24"/>
              </w:rPr>
            </w:pPr>
            <w:r w:rsidRPr="005413C5">
              <w:rPr>
                <w:b/>
                <w:bCs/>
                <w:color w:val="000000"/>
                <w:szCs w:val="24"/>
              </w:rPr>
              <w:t>0.00</w:t>
            </w:r>
          </w:p>
        </w:tc>
        <w:tc>
          <w:tcPr>
            <w:tcW w:w="749" w:type="pct"/>
            <w:noWrap/>
          </w:tcPr>
          <w:p w14:paraId="104A7A77" w14:textId="07A2E8F4" w:rsidR="003326C0" w:rsidRPr="005413C5" w:rsidRDefault="003326C0" w:rsidP="003326C0">
            <w:pPr>
              <w:spacing w:before="40" w:after="40"/>
              <w:jc w:val="center"/>
              <w:rPr>
                <w:b/>
                <w:bCs/>
                <w:color w:val="000000"/>
                <w:szCs w:val="24"/>
              </w:rPr>
            </w:pPr>
            <w:r w:rsidRPr="005413C5">
              <w:rPr>
                <w:b/>
                <w:bCs/>
                <w:color w:val="000000"/>
                <w:szCs w:val="24"/>
              </w:rPr>
              <w:t>0.00</w:t>
            </w:r>
          </w:p>
        </w:tc>
        <w:tc>
          <w:tcPr>
            <w:tcW w:w="749" w:type="pct"/>
            <w:noWrap/>
          </w:tcPr>
          <w:p w14:paraId="1448EFFD" w14:textId="0FCF9663" w:rsidR="003326C0" w:rsidRPr="005413C5" w:rsidRDefault="003326C0" w:rsidP="003326C0">
            <w:pPr>
              <w:spacing w:before="40" w:after="40"/>
              <w:jc w:val="center"/>
              <w:rPr>
                <w:b/>
                <w:bCs/>
                <w:color w:val="000000"/>
                <w:szCs w:val="24"/>
              </w:rPr>
            </w:pPr>
            <w:r w:rsidRPr="005413C5">
              <w:rPr>
                <w:b/>
                <w:bCs/>
                <w:color w:val="000000"/>
                <w:szCs w:val="24"/>
              </w:rPr>
              <w:t>0.00</w:t>
            </w:r>
          </w:p>
        </w:tc>
        <w:tc>
          <w:tcPr>
            <w:tcW w:w="746" w:type="pct"/>
            <w:noWrap/>
          </w:tcPr>
          <w:p w14:paraId="4D2B7EB2" w14:textId="29C8FADB" w:rsidR="003326C0" w:rsidRPr="005413C5" w:rsidRDefault="003326C0" w:rsidP="003326C0">
            <w:pPr>
              <w:spacing w:before="40" w:after="40"/>
              <w:jc w:val="center"/>
              <w:rPr>
                <w:b/>
                <w:bCs/>
                <w:color w:val="000000"/>
                <w:szCs w:val="24"/>
              </w:rPr>
            </w:pPr>
            <w:r w:rsidRPr="005413C5">
              <w:rPr>
                <w:b/>
                <w:bCs/>
                <w:color w:val="000000"/>
                <w:szCs w:val="24"/>
              </w:rPr>
              <w:t>0.00</w:t>
            </w:r>
          </w:p>
        </w:tc>
      </w:tr>
      <w:tr w:rsidR="003326C0" w:rsidRPr="00EF0BA9" w14:paraId="647627C7" w14:textId="77777777" w:rsidTr="00950320">
        <w:tc>
          <w:tcPr>
            <w:tcW w:w="1259" w:type="pct"/>
            <w:noWrap/>
            <w:hideMark/>
          </w:tcPr>
          <w:p w14:paraId="0834E025" w14:textId="77777777" w:rsidR="003326C0" w:rsidRPr="005413C5" w:rsidRDefault="003326C0" w:rsidP="003326C0">
            <w:pPr>
              <w:spacing w:before="40" w:after="40"/>
              <w:rPr>
                <w:rFonts w:asciiTheme="minorBidi" w:hAnsiTheme="minorBidi" w:cstheme="minorBidi"/>
                <w:b/>
                <w:bCs/>
                <w:color w:val="000000"/>
                <w:szCs w:val="24"/>
              </w:rPr>
            </w:pPr>
            <w:r w:rsidRPr="005413C5">
              <w:rPr>
                <w:rFonts w:asciiTheme="minorBidi" w:hAnsiTheme="minorBidi" w:cstheme="minorBidi"/>
                <w:b/>
                <w:bCs/>
                <w:color w:val="000000"/>
                <w:szCs w:val="24"/>
              </w:rPr>
              <w:t>Total costs FBO/Industry</w:t>
            </w:r>
          </w:p>
        </w:tc>
        <w:tc>
          <w:tcPr>
            <w:tcW w:w="749" w:type="pct"/>
            <w:noWrap/>
            <w:hideMark/>
          </w:tcPr>
          <w:p w14:paraId="6F87ADC0" w14:textId="36CFA748" w:rsidR="003326C0" w:rsidRPr="005413C5" w:rsidRDefault="001C1CAC" w:rsidP="003326C0">
            <w:pPr>
              <w:spacing w:before="40" w:after="40"/>
              <w:jc w:val="center"/>
              <w:rPr>
                <w:rFonts w:asciiTheme="minorBidi" w:hAnsiTheme="minorBidi" w:cstheme="minorBidi"/>
                <w:b/>
                <w:bCs/>
                <w:color w:val="000000"/>
                <w:szCs w:val="24"/>
              </w:rPr>
            </w:pPr>
            <w:r w:rsidRPr="005413C5">
              <w:rPr>
                <w:b/>
                <w:color w:val="000000"/>
                <w:szCs w:val="24"/>
              </w:rPr>
              <w:t>£</w:t>
            </w:r>
            <w:r w:rsidR="003326C0" w:rsidRPr="005413C5">
              <w:rPr>
                <w:b/>
                <w:color w:val="000000"/>
                <w:szCs w:val="24"/>
              </w:rPr>
              <w:t>0.</w:t>
            </w:r>
            <w:r w:rsidR="003326C0" w:rsidRPr="005413C5">
              <w:rPr>
                <w:b/>
                <w:bCs/>
                <w:color w:val="000000"/>
                <w:szCs w:val="24"/>
              </w:rPr>
              <w:t>76</w:t>
            </w:r>
            <w:r w:rsidRPr="005413C5">
              <w:rPr>
                <w:b/>
                <w:bCs/>
                <w:color w:val="000000"/>
                <w:szCs w:val="24"/>
              </w:rPr>
              <w:t>m</w:t>
            </w:r>
          </w:p>
        </w:tc>
        <w:tc>
          <w:tcPr>
            <w:tcW w:w="749" w:type="pct"/>
            <w:noWrap/>
            <w:hideMark/>
          </w:tcPr>
          <w:p w14:paraId="43219570" w14:textId="6587FB64" w:rsidR="003326C0" w:rsidRPr="005413C5" w:rsidRDefault="001C1CAC" w:rsidP="003326C0">
            <w:pPr>
              <w:spacing w:before="40" w:after="40"/>
              <w:jc w:val="center"/>
              <w:rPr>
                <w:rFonts w:asciiTheme="minorBidi" w:hAnsiTheme="minorBidi" w:cstheme="minorBidi"/>
                <w:b/>
                <w:bCs/>
                <w:color w:val="000000"/>
                <w:szCs w:val="24"/>
              </w:rPr>
            </w:pPr>
            <w:r w:rsidRPr="005413C5">
              <w:rPr>
                <w:b/>
                <w:color w:val="000000"/>
                <w:szCs w:val="24"/>
              </w:rPr>
              <w:t>£</w:t>
            </w:r>
            <w:r w:rsidR="003326C0" w:rsidRPr="005413C5">
              <w:rPr>
                <w:b/>
                <w:color w:val="000000"/>
                <w:szCs w:val="24"/>
              </w:rPr>
              <w:t>0.00</w:t>
            </w:r>
            <w:r w:rsidRPr="005413C5">
              <w:rPr>
                <w:b/>
                <w:color w:val="000000"/>
                <w:szCs w:val="24"/>
              </w:rPr>
              <w:t>m</w:t>
            </w:r>
          </w:p>
        </w:tc>
        <w:tc>
          <w:tcPr>
            <w:tcW w:w="749" w:type="pct"/>
            <w:noWrap/>
            <w:hideMark/>
          </w:tcPr>
          <w:p w14:paraId="7A6EB8BC" w14:textId="0EE95028" w:rsidR="003326C0" w:rsidRPr="005413C5" w:rsidRDefault="001C1CAC" w:rsidP="003326C0">
            <w:pPr>
              <w:spacing w:before="40" w:after="40"/>
              <w:jc w:val="center"/>
              <w:rPr>
                <w:rFonts w:asciiTheme="minorBidi" w:hAnsiTheme="minorBidi" w:cstheme="minorBidi"/>
                <w:b/>
                <w:bCs/>
                <w:color w:val="000000"/>
                <w:szCs w:val="24"/>
              </w:rPr>
            </w:pPr>
            <w:r w:rsidRPr="005413C5">
              <w:rPr>
                <w:b/>
                <w:color w:val="000000"/>
                <w:szCs w:val="24"/>
              </w:rPr>
              <w:t>£</w:t>
            </w:r>
            <w:r w:rsidR="003326C0" w:rsidRPr="005413C5">
              <w:rPr>
                <w:b/>
                <w:color w:val="000000"/>
                <w:szCs w:val="24"/>
              </w:rPr>
              <w:t>0.</w:t>
            </w:r>
            <w:r w:rsidR="003326C0" w:rsidRPr="005413C5">
              <w:rPr>
                <w:b/>
                <w:bCs/>
                <w:color w:val="000000"/>
                <w:szCs w:val="24"/>
              </w:rPr>
              <w:t>76</w:t>
            </w:r>
            <w:r w:rsidRPr="005413C5">
              <w:rPr>
                <w:b/>
                <w:bCs/>
                <w:color w:val="000000"/>
                <w:szCs w:val="24"/>
              </w:rPr>
              <w:t>m</w:t>
            </w:r>
          </w:p>
        </w:tc>
        <w:tc>
          <w:tcPr>
            <w:tcW w:w="749" w:type="pct"/>
            <w:noWrap/>
            <w:hideMark/>
          </w:tcPr>
          <w:p w14:paraId="04B1F657" w14:textId="25C7DCC3" w:rsidR="003326C0" w:rsidRPr="005413C5" w:rsidRDefault="001C1CAC" w:rsidP="003326C0">
            <w:pPr>
              <w:spacing w:before="40" w:after="40"/>
              <w:jc w:val="center"/>
              <w:rPr>
                <w:rFonts w:asciiTheme="minorBidi" w:hAnsiTheme="minorBidi" w:cstheme="minorBidi"/>
                <w:b/>
                <w:bCs/>
                <w:color w:val="000000"/>
                <w:szCs w:val="24"/>
              </w:rPr>
            </w:pPr>
            <w:r w:rsidRPr="005413C5">
              <w:rPr>
                <w:b/>
                <w:color w:val="000000"/>
                <w:szCs w:val="24"/>
              </w:rPr>
              <w:t>£</w:t>
            </w:r>
            <w:r w:rsidR="003326C0" w:rsidRPr="005413C5">
              <w:rPr>
                <w:b/>
                <w:color w:val="000000"/>
                <w:szCs w:val="24"/>
              </w:rPr>
              <w:t>0.</w:t>
            </w:r>
            <w:r w:rsidR="003326C0" w:rsidRPr="005413C5">
              <w:rPr>
                <w:b/>
                <w:bCs/>
                <w:color w:val="000000"/>
                <w:szCs w:val="24"/>
              </w:rPr>
              <w:t>76</w:t>
            </w:r>
            <w:r w:rsidRPr="005413C5">
              <w:rPr>
                <w:b/>
                <w:bCs/>
                <w:color w:val="000000"/>
                <w:szCs w:val="24"/>
              </w:rPr>
              <w:t>m</w:t>
            </w:r>
          </w:p>
        </w:tc>
        <w:tc>
          <w:tcPr>
            <w:tcW w:w="746" w:type="pct"/>
            <w:noWrap/>
            <w:hideMark/>
          </w:tcPr>
          <w:p w14:paraId="3A442CC4" w14:textId="724EA010" w:rsidR="003326C0" w:rsidRPr="005413C5" w:rsidRDefault="001C1CAC" w:rsidP="003326C0">
            <w:pPr>
              <w:spacing w:before="40" w:after="40"/>
              <w:jc w:val="center"/>
              <w:rPr>
                <w:rFonts w:asciiTheme="minorBidi" w:hAnsiTheme="minorBidi" w:cstheme="minorBidi"/>
                <w:b/>
                <w:bCs/>
                <w:color w:val="000000"/>
                <w:szCs w:val="24"/>
              </w:rPr>
            </w:pPr>
            <w:r w:rsidRPr="005413C5">
              <w:rPr>
                <w:b/>
                <w:color w:val="000000"/>
                <w:szCs w:val="24"/>
              </w:rPr>
              <w:t>£</w:t>
            </w:r>
            <w:r w:rsidR="003326C0" w:rsidRPr="005413C5">
              <w:rPr>
                <w:b/>
                <w:color w:val="000000"/>
                <w:szCs w:val="24"/>
              </w:rPr>
              <w:t>0.</w:t>
            </w:r>
            <w:r w:rsidR="003326C0" w:rsidRPr="005413C5">
              <w:rPr>
                <w:b/>
                <w:bCs/>
                <w:color w:val="000000"/>
                <w:szCs w:val="24"/>
              </w:rPr>
              <w:t>09</w:t>
            </w:r>
            <w:r w:rsidRPr="005413C5">
              <w:rPr>
                <w:b/>
                <w:bCs/>
                <w:color w:val="000000"/>
                <w:szCs w:val="24"/>
              </w:rPr>
              <w:t>m</w:t>
            </w:r>
          </w:p>
        </w:tc>
      </w:tr>
      <w:tr w:rsidR="003326C0" w:rsidRPr="00EF0BA9" w14:paraId="74AA5CEA" w14:textId="77777777" w:rsidTr="00950320">
        <w:tc>
          <w:tcPr>
            <w:tcW w:w="1259" w:type="pct"/>
            <w:noWrap/>
            <w:hideMark/>
          </w:tcPr>
          <w:p w14:paraId="23E0EF90" w14:textId="77777777" w:rsidR="003326C0" w:rsidRPr="005413C5" w:rsidRDefault="003326C0" w:rsidP="003326C0">
            <w:pPr>
              <w:spacing w:before="40" w:after="40"/>
              <w:rPr>
                <w:rFonts w:asciiTheme="minorBidi" w:hAnsiTheme="minorBidi" w:cstheme="minorBidi"/>
                <w:color w:val="000000"/>
                <w:szCs w:val="24"/>
              </w:rPr>
            </w:pPr>
            <w:r w:rsidRPr="005413C5">
              <w:rPr>
                <w:rFonts w:asciiTheme="minorBidi" w:hAnsiTheme="minorBidi" w:cstheme="minorBidi"/>
                <w:color w:val="000000"/>
                <w:szCs w:val="24"/>
              </w:rPr>
              <w:t>Low</w:t>
            </w:r>
          </w:p>
        </w:tc>
        <w:tc>
          <w:tcPr>
            <w:tcW w:w="749" w:type="pct"/>
            <w:noWrap/>
            <w:hideMark/>
          </w:tcPr>
          <w:p w14:paraId="07531ADE" w14:textId="57513AEA" w:rsidR="003326C0" w:rsidRPr="005413C5" w:rsidRDefault="001C1CAC" w:rsidP="003326C0">
            <w:pPr>
              <w:spacing w:before="40" w:after="40"/>
              <w:jc w:val="center"/>
              <w:rPr>
                <w:rFonts w:asciiTheme="minorBidi" w:hAnsiTheme="minorBidi" w:cstheme="minorBidi"/>
                <w:bCs/>
                <w:color w:val="000000"/>
                <w:szCs w:val="24"/>
              </w:rPr>
            </w:pPr>
            <w:r w:rsidRPr="005413C5">
              <w:rPr>
                <w:bCs/>
                <w:color w:val="000000"/>
                <w:szCs w:val="24"/>
              </w:rPr>
              <w:t>£</w:t>
            </w:r>
            <w:r w:rsidR="003326C0" w:rsidRPr="005413C5">
              <w:rPr>
                <w:bCs/>
                <w:color w:val="000000"/>
                <w:szCs w:val="24"/>
              </w:rPr>
              <w:t>0.69</w:t>
            </w:r>
            <w:r w:rsidRPr="005413C5">
              <w:rPr>
                <w:bCs/>
                <w:color w:val="000000"/>
                <w:szCs w:val="24"/>
              </w:rPr>
              <w:t>m</w:t>
            </w:r>
          </w:p>
        </w:tc>
        <w:tc>
          <w:tcPr>
            <w:tcW w:w="749" w:type="pct"/>
            <w:noWrap/>
            <w:hideMark/>
          </w:tcPr>
          <w:p w14:paraId="1A3A68EE" w14:textId="2CC4083E" w:rsidR="003326C0" w:rsidRPr="005413C5" w:rsidRDefault="001C1CAC" w:rsidP="003326C0">
            <w:pPr>
              <w:spacing w:before="40" w:after="40"/>
              <w:jc w:val="center"/>
              <w:rPr>
                <w:rFonts w:asciiTheme="minorBidi" w:hAnsiTheme="minorBidi" w:cstheme="minorBidi"/>
                <w:bCs/>
                <w:color w:val="000000"/>
                <w:szCs w:val="24"/>
              </w:rPr>
            </w:pPr>
            <w:r w:rsidRPr="005413C5">
              <w:rPr>
                <w:bCs/>
                <w:color w:val="000000"/>
                <w:szCs w:val="24"/>
              </w:rPr>
              <w:t>£</w:t>
            </w:r>
            <w:r w:rsidR="003326C0" w:rsidRPr="005413C5">
              <w:rPr>
                <w:bCs/>
                <w:color w:val="000000"/>
                <w:szCs w:val="24"/>
              </w:rPr>
              <w:t>0.00</w:t>
            </w:r>
            <w:r w:rsidRPr="005413C5">
              <w:rPr>
                <w:bCs/>
                <w:color w:val="000000"/>
                <w:szCs w:val="24"/>
              </w:rPr>
              <w:t>m</w:t>
            </w:r>
          </w:p>
        </w:tc>
        <w:tc>
          <w:tcPr>
            <w:tcW w:w="749" w:type="pct"/>
            <w:noWrap/>
            <w:hideMark/>
          </w:tcPr>
          <w:p w14:paraId="4DD8215E" w14:textId="27B4C5E8" w:rsidR="003326C0" w:rsidRPr="005413C5" w:rsidRDefault="001C1CAC" w:rsidP="003326C0">
            <w:pPr>
              <w:spacing w:before="40" w:after="40"/>
              <w:jc w:val="center"/>
              <w:rPr>
                <w:rFonts w:asciiTheme="minorBidi" w:hAnsiTheme="minorBidi" w:cstheme="minorBidi"/>
                <w:bCs/>
                <w:color w:val="000000"/>
                <w:szCs w:val="24"/>
              </w:rPr>
            </w:pPr>
            <w:r w:rsidRPr="005413C5">
              <w:rPr>
                <w:bCs/>
                <w:color w:val="000000"/>
                <w:szCs w:val="24"/>
              </w:rPr>
              <w:t>£</w:t>
            </w:r>
            <w:r w:rsidR="003326C0" w:rsidRPr="005413C5">
              <w:rPr>
                <w:bCs/>
                <w:color w:val="000000"/>
                <w:szCs w:val="24"/>
              </w:rPr>
              <w:t>0.69</w:t>
            </w:r>
            <w:r w:rsidRPr="005413C5">
              <w:rPr>
                <w:bCs/>
                <w:color w:val="000000"/>
                <w:szCs w:val="24"/>
              </w:rPr>
              <w:t>m</w:t>
            </w:r>
          </w:p>
        </w:tc>
        <w:tc>
          <w:tcPr>
            <w:tcW w:w="749" w:type="pct"/>
            <w:noWrap/>
            <w:hideMark/>
          </w:tcPr>
          <w:p w14:paraId="7784E1BF" w14:textId="7F6CE02E" w:rsidR="003326C0" w:rsidRPr="005413C5" w:rsidRDefault="001C1CAC" w:rsidP="003326C0">
            <w:pPr>
              <w:spacing w:before="40" w:after="40"/>
              <w:jc w:val="center"/>
              <w:rPr>
                <w:rFonts w:asciiTheme="minorBidi" w:hAnsiTheme="minorBidi" w:cstheme="minorBidi"/>
                <w:bCs/>
                <w:color w:val="000000"/>
                <w:szCs w:val="24"/>
              </w:rPr>
            </w:pPr>
            <w:r w:rsidRPr="005413C5">
              <w:rPr>
                <w:bCs/>
                <w:color w:val="000000"/>
                <w:szCs w:val="24"/>
              </w:rPr>
              <w:t>£</w:t>
            </w:r>
            <w:r w:rsidR="003326C0" w:rsidRPr="005413C5">
              <w:rPr>
                <w:bCs/>
                <w:color w:val="000000"/>
                <w:szCs w:val="24"/>
              </w:rPr>
              <w:t>0.69</w:t>
            </w:r>
            <w:r w:rsidRPr="005413C5">
              <w:rPr>
                <w:bCs/>
                <w:color w:val="000000"/>
                <w:szCs w:val="24"/>
              </w:rPr>
              <w:t>m</w:t>
            </w:r>
          </w:p>
        </w:tc>
        <w:tc>
          <w:tcPr>
            <w:tcW w:w="746" w:type="pct"/>
            <w:noWrap/>
            <w:hideMark/>
          </w:tcPr>
          <w:p w14:paraId="3FD54AFB" w14:textId="4D5F8258" w:rsidR="003326C0" w:rsidRPr="005413C5" w:rsidRDefault="001C1CAC" w:rsidP="003326C0">
            <w:pPr>
              <w:spacing w:before="40" w:after="40"/>
              <w:jc w:val="center"/>
              <w:rPr>
                <w:rFonts w:asciiTheme="minorBidi" w:hAnsiTheme="minorBidi" w:cstheme="minorBidi"/>
                <w:bCs/>
                <w:color w:val="000000"/>
                <w:szCs w:val="24"/>
              </w:rPr>
            </w:pPr>
            <w:r w:rsidRPr="005413C5">
              <w:rPr>
                <w:bCs/>
                <w:color w:val="000000"/>
                <w:szCs w:val="24"/>
              </w:rPr>
              <w:t>£</w:t>
            </w:r>
            <w:r w:rsidR="003326C0" w:rsidRPr="005413C5">
              <w:rPr>
                <w:bCs/>
                <w:color w:val="000000"/>
                <w:szCs w:val="24"/>
              </w:rPr>
              <w:t>0.08</w:t>
            </w:r>
            <w:r w:rsidRPr="005413C5">
              <w:rPr>
                <w:bCs/>
                <w:color w:val="000000"/>
                <w:szCs w:val="24"/>
              </w:rPr>
              <w:t>m</w:t>
            </w:r>
          </w:p>
        </w:tc>
      </w:tr>
      <w:tr w:rsidR="003326C0" w:rsidRPr="00EF0BA9" w14:paraId="465DFAB6" w14:textId="77777777" w:rsidTr="00950320">
        <w:tc>
          <w:tcPr>
            <w:tcW w:w="1259" w:type="pct"/>
            <w:noWrap/>
            <w:hideMark/>
          </w:tcPr>
          <w:p w14:paraId="46BB8620" w14:textId="77777777" w:rsidR="003326C0" w:rsidRPr="005413C5" w:rsidRDefault="003326C0" w:rsidP="003326C0">
            <w:pPr>
              <w:spacing w:before="40" w:after="40"/>
              <w:rPr>
                <w:rFonts w:asciiTheme="minorBidi" w:hAnsiTheme="minorBidi" w:cstheme="minorBidi"/>
                <w:color w:val="000000"/>
                <w:szCs w:val="24"/>
              </w:rPr>
            </w:pPr>
            <w:r w:rsidRPr="005413C5">
              <w:rPr>
                <w:rFonts w:asciiTheme="minorBidi" w:hAnsiTheme="minorBidi" w:cstheme="minorBidi"/>
                <w:color w:val="000000"/>
                <w:szCs w:val="24"/>
              </w:rPr>
              <w:t>High</w:t>
            </w:r>
          </w:p>
        </w:tc>
        <w:tc>
          <w:tcPr>
            <w:tcW w:w="749" w:type="pct"/>
            <w:noWrap/>
            <w:hideMark/>
          </w:tcPr>
          <w:p w14:paraId="2315630D" w14:textId="624E00F7" w:rsidR="003326C0" w:rsidRPr="005413C5" w:rsidRDefault="001C1CAC" w:rsidP="003326C0">
            <w:pPr>
              <w:spacing w:before="40" w:after="40"/>
              <w:jc w:val="center"/>
              <w:rPr>
                <w:rFonts w:asciiTheme="minorBidi" w:hAnsiTheme="minorBidi" w:cstheme="minorBidi"/>
                <w:bCs/>
                <w:color w:val="000000"/>
                <w:szCs w:val="24"/>
              </w:rPr>
            </w:pPr>
            <w:r w:rsidRPr="005413C5">
              <w:rPr>
                <w:bCs/>
                <w:color w:val="000000"/>
                <w:szCs w:val="24"/>
              </w:rPr>
              <w:t>£</w:t>
            </w:r>
            <w:r w:rsidR="003326C0" w:rsidRPr="005413C5">
              <w:rPr>
                <w:bCs/>
                <w:color w:val="000000"/>
                <w:szCs w:val="24"/>
              </w:rPr>
              <w:t>0.82</w:t>
            </w:r>
            <w:r w:rsidRPr="005413C5">
              <w:rPr>
                <w:bCs/>
                <w:color w:val="000000"/>
                <w:szCs w:val="24"/>
              </w:rPr>
              <w:t>m</w:t>
            </w:r>
          </w:p>
        </w:tc>
        <w:tc>
          <w:tcPr>
            <w:tcW w:w="749" w:type="pct"/>
            <w:noWrap/>
            <w:hideMark/>
          </w:tcPr>
          <w:p w14:paraId="0685B302" w14:textId="777CEEFD" w:rsidR="003326C0" w:rsidRPr="005413C5" w:rsidRDefault="001C1CAC" w:rsidP="003326C0">
            <w:pPr>
              <w:spacing w:before="40" w:after="40"/>
              <w:jc w:val="center"/>
              <w:rPr>
                <w:rFonts w:asciiTheme="minorBidi" w:hAnsiTheme="minorBidi" w:cstheme="minorBidi"/>
                <w:bCs/>
                <w:color w:val="000000"/>
                <w:szCs w:val="24"/>
              </w:rPr>
            </w:pPr>
            <w:r w:rsidRPr="005413C5">
              <w:rPr>
                <w:bCs/>
                <w:color w:val="000000"/>
                <w:szCs w:val="24"/>
              </w:rPr>
              <w:t>£</w:t>
            </w:r>
            <w:r w:rsidR="003326C0" w:rsidRPr="005413C5">
              <w:rPr>
                <w:bCs/>
                <w:color w:val="000000"/>
                <w:szCs w:val="24"/>
              </w:rPr>
              <w:t>0.00</w:t>
            </w:r>
            <w:r w:rsidRPr="005413C5">
              <w:rPr>
                <w:bCs/>
                <w:color w:val="000000"/>
                <w:szCs w:val="24"/>
              </w:rPr>
              <w:t>m</w:t>
            </w:r>
          </w:p>
        </w:tc>
        <w:tc>
          <w:tcPr>
            <w:tcW w:w="749" w:type="pct"/>
            <w:noWrap/>
            <w:hideMark/>
          </w:tcPr>
          <w:p w14:paraId="5230F991" w14:textId="5D1911AC" w:rsidR="003326C0" w:rsidRPr="005413C5" w:rsidRDefault="001C1CAC" w:rsidP="003326C0">
            <w:pPr>
              <w:spacing w:before="40" w:after="40"/>
              <w:jc w:val="center"/>
              <w:rPr>
                <w:rFonts w:asciiTheme="minorBidi" w:hAnsiTheme="minorBidi" w:cstheme="minorBidi"/>
                <w:bCs/>
                <w:color w:val="000000"/>
                <w:szCs w:val="24"/>
              </w:rPr>
            </w:pPr>
            <w:r w:rsidRPr="005413C5">
              <w:rPr>
                <w:bCs/>
                <w:color w:val="000000"/>
                <w:szCs w:val="24"/>
              </w:rPr>
              <w:t>£</w:t>
            </w:r>
            <w:r w:rsidR="003326C0" w:rsidRPr="005413C5">
              <w:rPr>
                <w:bCs/>
                <w:color w:val="000000"/>
                <w:szCs w:val="24"/>
              </w:rPr>
              <w:t>0.82</w:t>
            </w:r>
            <w:r w:rsidRPr="005413C5">
              <w:rPr>
                <w:bCs/>
                <w:color w:val="000000"/>
                <w:szCs w:val="24"/>
              </w:rPr>
              <w:t>m</w:t>
            </w:r>
          </w:p>
        </w:tc>
        <w:tc>
          <w:tcPr>
            <w:tcW w:w="749" w:type="pct"/>
            <w:noWrap/>
            <w:hideMark/>
          </w:tcPr>
          <w:p w14:paraId="3BE2FF1A" w14:textId="0EE13F86" w:rsidR="003326C0" w:rsidRPr="005413C5" w:rsidRDefault="001C1CAC" w:rsidP="003326C0">
            <w:pPr>
              <w:spacing w:before="40" w:after="40"/>
              <w:jc w:val="center"/>
              <w:rPr>
                <w:rFonts w:asciiTheme="minorBidi" w:hAnsiTheme="minorBidi" w:cstheme="minorBidi"/>
                <w:bCs/>
                <w:color w:val="000000"/>
                <w:szCs w:val="24"/>
              </w:rPr>
            </w:pPr>
            <w:r w:rsidRPr="005413C5">
              <w:rPr>
                <w:bCs/>
                <w:color w:val="000000"/>
                <w:szCs w:val="24"/>
              </w:rPr>
              <w:t>£</w:t>
            </w:r>
            <w:r w:rsidR="003326C0" w:rsidRPr="005413C5">
              <w:rPr>
                <w:bCs/>
                <w:color w:val="000000"/>
                <w:szCs w:val="24"/>
              </w:rPr>
              <w:t>0.82</w:t>
            </w:r>
            <w:r w:rsidRPr="005413C5">
              <w:rPr>
                <w:bCs/>
                <w:color w:val="000000"/>
                <w:szCs w:val="24"/>
              </w:rPr>
              <w:t>m</w:t>
            </w:r>
          </w:p>
        </w:tc>
        <w:tc>
          <w:tcPr>
            <w:tcW w:w="746" w:type="pct"/>
            <w:noWrap/>
            <w:hideMark/>
          </w:tcPr>
          <w:p w14:paraId="0E61509B" w14:textId="64183F9C" w:rsidR="003326C0" w:rsidRPr="005413C5" w:rsidRDefault="001C1CAC" w:rsidP="003326C0">
            <w:pPr>
              <w:spacing w:before="40" w:after="40"/>
              <w:jc w:val="center"/>
              <w:rPr>
                <w:rFonts w:asciiTheme="minorBidi" w:hAnsiTheme="minorBidi" w:cstheme="minorBidi"/>
                <w:bCs/>
                <w:color w:val="000000"/>
                <w:szCs w:val="24"/>
              </w:rPr>
            </w:pPr>
            <w:r w:rsidRPr="005413C5">
              <w:rPr>
                <w:bCs/>
                <w:color w:val="000000"/>
                <w:szCs w:val="24"/>
              </w:rPr>
              <w:t>£</w:t>
            </w:r>
            <w:r w:rsidR="003326C0" w:rsidRPr="005413C5">
              <w:rPr>
                <w:bCs/>
                <w:color w:val="000000"/>
                <w:szCs w:val="24"/>
              </w:rPr>
              <w:t>0.10</w:t>
            </w:r>
            <w:r w:rsidRPr="005413C5">
              <w:rPr>
                <w:bCs/>
                <w:color w:val="000000"/>
                <w:szCs w:val="24"/>
              </w:rPr>
              <w:t>m</w:t>
            </w:r>
          </w:p>
        </w:tc>
      </w:tr>
    </w:tbl>
    <w:p w14:paraId="0C4ED20F" w14:textId="77777777" w:rsidR="00D50E30" w:rsidRDefault="00D50E30" w:rsidP="00524436">
      <w:pPr>
        <w:pStyle w:val="Caption"/>
        <w:rPr>
          <w:rFonts w:eastAsia="Arial"/>
          <w:b/>
          <w:bCs/>
          <w:i w:val="0"/>
          <w:iCs w:val="0"/>
          <w:color w:val="auto"/>
          <w:sz w:val="24"/>
          <w:szCs w:val="24"/>
          <w:lang w:val="en-US"/>
        </w:rPr>
      </w:pPr>
    </w:p>
    <w:p w14:paraId="77FCCCEB" w14:textId="3CE3DAD4" w:rsidR="00524436" w:rsidRPr="004851BD" w:rsidRDefault="00524436" w:rsidP="00524436">
      <w:pPr>
        <w:pStyle w:val="Caption"/>
        <w:rPr>
          <w:rFonts w:eastAsia="Arial"/>
          <w:b/>
          <w:bCs/>
          <w:i w:val="0"/>
          <w:iCs w:val="0"/>
          <w:color w:val="auto"/>
          <w:sz w:val="24"/>
          <w:szCs w:val="24"/>
          <w:lang w:val="en-US"/>
        </w:rPr>
      </w:pPr>
      <w:r w:rsidRPr="004851BD">
        <w:rPr>
          <w:rFonts w:eastAsia="Arial"/>
          <w:b/>
          <w:bCs/>
          <w:i w:val="0"/>
          <w:iCs w:val="0"/>
          <w:color w:val="auto"/>
          <w:sz w:val="24"/>
          <w:szCs w:val="24"/>
          <w:lang w:val="en-US"/>
        </w:rPr>
        <w:t xml:space="preserve">Table </w:t>
      </w:r>
      <w:r w:rsidR="00EB69BD" w:rsidRPr="004851BD">
        <w:rPr>
          <w:rFonts w:eastAsia="Arial"/>
          <w:b/>
          <w:bCs/>
          <w:i w:val="0"/>
          <w:iCs w:val="0"/>
          <w:color w:val="auto"/>
          <w:sz w:val="24"/>
          <w:szCs w:val="24"/>
          <w:lang w:val="en-US"/>
        </w:rPr>
        <w:t>4</w:t>
      </w:r>
      <w:r w:rsidRPr="004851BD">
        <w:rPr>
          <w:rFonts w:eastAsia="Arial"/>
          <w:b/>
          <w:bCs/>
          <w:i w:val="0"/>
          <w:iCs w:val="0"/>
          <w:color w:val="auto"/>
          <w:sz w:val="24"/>
          <w:szCs w:val="24"/>
          <w:lang w:val="en-US"/>
        </w:rPr>
        <w:t xml:space="preserve"> </w:t>
      </w:r>
      <w:r w:rsidR="00C14097" w:rsidRPr="004851BD">
        <w:rPr>
          <w:rFonts w:eastAsia="Arial"/>
          <w:b/>
          <w:bCs/>
          <w:i w:val="0"/>
          <w:iCs w:val="0"/>
          <w:color w:val="auto"/>
          <w:sz w:val="24"/>
          <w:szCs w:val="24"/>
          <w:lang w:val="en-US"/>
        </w:rPr>
        <w:t>–</w:t>
      </w:r>
      <w:r w:rsidRPr="004851BD">
        <w:rPr>
          <w:rFonts w:eastAsia="Arial"/>
          <w:b/>
          <w:bCs/>
          <w:i w:val="0"/>
          <w:iCs w:val="0"/>
          <w:color w:val="auto"/>
          <w:sz w:val="24"/>
          <w:szCs w:val="24"/>
          <w:lang w:val="en-US"/>
        </w:rPr>
        <w:t xml:space="preserve"> Total </w:t>
      </w:r>
      <w:r w:rsidR="00C14097" w:rsidRPr="004851BD">
        <w:rPr>
          <w:rFonts w:eastAsia="Arial"/>
          <w:b/>
          <w:bCs/>
          <w:i w:val="0"/>
          <w:iCs w:val="0"/>
          <w:color w:val="auto"/>
          <w:sz w:val="24"/>
          <w:szCs w:val="24"/>
          <w:lang w:val="en-US"/>
        </w:rPr>
        <w:t xml:space="preserve">monetised </w:t>
      </w:r>
      <w:r w:rsidRPr="004851BD">
        <w:rPr>
          <w:rFonts w:eastAsia="Arial"/>
          <w:b/>
          <w:bCs/>
          <w:i w:val="0"/>
          <w:iCs w:val="0"/>
          <w:color w:val="auto"/>
          <w:sz w:val="24"/>
          <w:szCs w:val="24"/>
          <w:lang w:val="en-US"/>
        </w:rPr>
        <w:t>costs and benefits of Option 2, rounded to £m</w:t>
      </w:r>
    </w:p>
    <w:tbl>
      <w:tblPr>
        <w:tblStyle w:val="TableGrid"/>
        <w:tblW w:w="0" w:type="auto"/>
        <w:tblLayout w:type="fixed"/>
        <w:tblLook w:val="04A0" w:firstRow="1" w:lastRow="0" w:firstColumn="1" w:lastColumn="0" w:noHBand="0" w:noVBand="1"/>
      </w:tblPr>
      <w:tblGrid>
        <w:gridCol w:w="1838"/>
        <w:gridCol w:w="1134"/>
        <w:gridCol w:w="1559"/>
        <w:gridCol w:w="1331"/>
        <w:gridCol w:w="2090"/>
        <w:gridCol w:w="2118"/>
      </w:tblGrid>
      <w:tr w:rsidR="00950320" w:rsidRPr="00950320" w14:paraId="15496FF8" w14:textId="77777777" w:rsidTr="00950320">
        <w:trPr>
          <w:trHeight w:val="1003"/>
        </w:trPr>
        <w:tc>
          <w:tcPr>
            <w:tcW w:w="1838" w:type="dxa"/>
            <w:tcBorders>
              <w:bottom w:val="single" w:sz="4" w:space="0" w:color="auto"/>
            </w:tcBorders>
            <w:shd w:val="clear" w:color="auto" w:fill="E2EFD9" w:themeFill="accent6" w:themeFillTint="33"/>
            <w:noWrap/>
            <w:hideMark/>
          </w:tcPr>
          <w:p w14:paraId="384E5A8B" w14:textId="77777777" w:rsidR="00524436" w:rsidRPr="00950320" w:rsidRDefault="00524436" w:rsidP="00850286">
            <w:pPr>
              <w:spacing w:before="40" w:after="40"/>
              <w:rPr>
                <w:rFonts w:asciiTheme="minorBidi" w:hAnsiTheme="minorBidi" w:cstheme="minorBidi"/>
                <w:b/>
                <w:bCs/>
                <w:szCs w:val="24"/>
              </w:rPr>
            </w:pPr>
            <w:r w:rsidRPr="00950320">
              <w:rPr>
                <w:rFonts w:asciiTheme="minorBidi" w:hAnsiTheme="minorBidi" w:cstheme="minorBidi"/>
                <w:b/>
                <w:bCs/>
                <w:szCs w:val="24"/>
              </w:rPr>
              <w:t>All stakeholders</w:t>
            </w:r>
          </w:p>
        </w:tc>
        <w:tc>
          <w:tcPr>
            <w:tcW w:w="1134" w:type="dxa"/>
            <w:tcBorders>
              <w:bottom w:val="single" w:sz="4" w:space="0" w:color="auto"/>
            </w:tcBorders>
            <w:shd w:val="clear" w:color="auto" w:fill="E2EFD9" w:themeFill="accent6" w:themeFillTint="33"/>
            <w:noWrap/>
            <w:hideMark/>
          </w:tcPr>
          <w:p w14:paraId="30F4540C" w14:textId="77777777" w:rsidR="00524436" w:rsidRPr="00950320" w:rsidRDefault="00524436" w:rsidP="00850286">
            <w:pPr>
              <w:spacing w:before="40" w:after="40"/>
              <w:jc w:val="center"/>
              <w:rPr>
                <w:rFonts w:asciiTheme="minorBidi" w:hAnsiTheme="minorBidi" w:cstheme="minorBidi"/>
                <w:b/>
                <w:bCs/>
                <w:szCs w:val="24"/>
              </w:rPr>
            </w:pPr>
            <w:r w:rsidRPr="00950320">
              <w:rPr>
                <w:rFonts w:asciiTheme="minorBidi" w:hAnsiTheme="minorBidi" w:cstheme="minorBidi"/>
                <w:b/>
                <w:bCs/>
                <w:szCs w:val="24"/>
              </w:rPr>
              <w:t xml:space="preserve">Total One-Off </w:t>
            </w:r>
          </w:p>
        </w:tc>
        <w:tc>
          <w:tcPr>
            <w:tcW w:w="1559" w:type="dxa"/>
            <w:tcBorders>
              <w:bottom w:val="single" w:sz="4" w:space="0" w:color="auto"/>
            </w:tcBorders>
            <w:shd w:val="clear" w:color="auto" w:fill="E2EFD9" w:themeFill="accent6" w:themeFillTint="33"/>
            <w:hideMark/>
          </w:tcPr>
          <w:p w14:paraId="28492A20" w14:textId="77777777" w:rsidR="00524436" w:rsidRPr="00950320" w:rsidRDefault="00524436" w:rsidP="00850286">
            <w:pPr>
              <w:spacing w:before="40" w:after="40"/>
              <w:jc w:val="center"/>
              <w:rPr>
                <w:rFonts w:asciiTheme="minorBidi" w:hAnsiTheme="minorBidi" w:cstheme="minorBidi"/>
                <w:b/>
                <w:bCs/>
                <w:szCs w:val="24"/>
              </w:rPr>
            </w:pPr>
            <w:r w:rsidRPr="00950320">
              <w:rPr>
                <w:rFonts w:asciiTheme="minorBidi" w:hAnsiTheme="minorBidi" w:cstheme="minorBidi"/>
                <w:b/>
                <w:bCs/>
                <w:szCs w:val="24"/>
              </w:rPr>
              <w:t xml:space="preserve">Total Recurring </w:t>
            </w:r>
          </w:p>
        </w:tc>
        <w:tc>
          <w:tcPr>
            <w:tcW w:w="1331" w:type="dxa"/>
            <w:tcBorders>
              <w:bottom w:val="single" w:sz="4" w:space="0" w:color="auto"/>
            </w:tcBorders>
            <w:shd w:val="clear" w:color="auto" w:fill="E2EFD9" w:themeFill="accent6" w:themeFillTint="33"/>
            <w:hideMark/>
          </w:tcPr>
          <w:p w14:paraId="19E1D855" w14:textId="77777777" w:rsidR="00524436" w:rsidRPr="00950320" w:rsidRDefault="00524436" w:rsidP="00850286">
            <w:pPr>
              <w:spacing w:before="40" w:after="40"/>
              <w:jc w:val="center"/>
              <w:rPr>
                <w:rFonts w:asciiTheme="minorBidi" w:hAnsiTheme="minorBidi" w:cstheme="minorBidi"/>
                <w:b/>
                <w:bCs/>
                <w:szCs w:val="24"/>
              </w:rPr>
            </w:pPr>
            <w:r w:rsidRPr="00950320">
              <w:rPr>
                <w:rFonts w:asciiTheme="minorBidi" w:hAnsiTheme="minorBidi" w:cstheme="minorBidi"/>
                <w:b/>
                <w:bCs/>
                <w:szCs w:val="24"/>
              </w:rPr>
              <w:t>Total</w:t>
            </w:r>
          </w:p>
        </w:tc>
        <w:tc>
          <w:tcPr>
            <w:tcW w:w="2090" w:type="dxa"/>
            <w:tcBorders>
              <w:bottom w:val="single" w:sz="4" w:space="0" w:color="auto"/>
            </w:tcBorders>
            <w:shd w:val="clear" w:color="auto" w:fill="E2EFD9" w:themeFill="accent6" w:themeFillTint="33"/>
            <w:hideMark/>
          </w:tcPr>
          <w:p w14:paraId="0834EC08" w14:textId="2876E945" w:rsidR="00524436" w:rsidRPr="00950320" w:rsidRDefault="00524436" w:rsidP="00850286">
            <w:pPr>
              <w:spacing w:before="40" w:after="40"/>
              <w:jc w:val="center"/>
              <w:rPr>
                <w:rFonts w:asciiTheme="minorBidi" w:hAnsiTheme="minorBidi" w:cstheme="minorBidi"/>
                <w:b/>
                <w:bCs/>
                <w:szCs w:val="24"/>
              </w:rPr>
            </w:pPr>
            <w:r w:rsidRPr="00950320">
              <w:rPr>
                <w:rFonts w:asciiTheme="minorBidi" w:hAnsiTheme="minorBidi" w:cstheme="minorBidi"/>
                <w:b/>
                <w:bCs/>
                <w:szCs w:val="24"/>
              </w:rPr>
              <w:t>PV (2023 Base Year)</w:t>
            </w:r>
            <w:r w:rsidR="00300B5C" w:rsidRPr="00950320">
              <w:rPr>
                <w:rFonts w:asciiTheme="minorBidi" w:hAnsiTheme="minorBidi" w:cstheme="minorBidi"/>
                <w:b/>
                <w:bCs/>
                <w:szCs w:val="24"/>
              </w:rPr>
              <w:t xml:space="preserve"> Total</w:t>
            </w:r>
          </w:p>
        </w:tc>
        <w:tc>
          <w:tcPr>
            <w:tcW w:w="2118" w:type="dxa"/>
            <w:tcBorders>
              <w:bottom w:val="single" w:sz="4" w:space="0" w:color="auto"/>
            </w:tcBorders>
            <w:shd w:val="clear" w:color="auto" w:fill="E2EFD9" w:themeFill="accent6" w:themeFillTint="33"/>
            <w:hideMark/>
          </w:tcPr>
          <w:p w14:paraId="714F9664" w14:textId="77777777" w:rsidR="00524436" w:rsidRPr="00950320" w:rsidRDefault="00524436" w:rsidP="00850286">
            <w:pPr>
              <w:spacing w:before="40" w:after="40"/>
              <w:jc w:val="center"/>
              <w:rPr>
                <w:rFonts w:asciiTheme="minorBidi" w:hAnsiTheme="minorBidi" w:cstheme="minorBidi"/>
                <w:b/>
                <w:bCs/>
                <w:szCs w:val="24"/>
              </w:rPr>
            </w:pPr>
            <w:r w:rsidRPr="00950320">
              <w:rPr>
                <w:rFonts w:asciiTheme="minorBidi" w:hAnsiTheme="minorBidi" w:cstheme="minorBidi"/>
                <w:b/>
                <w:bCs/>
                <w:szCs w:val="24"/>
              </w:rPr>
              <w:t>Annual Equivalent</w:t>
            </w:r>
          </w:p>
        </w:tc>
      </w:tr>
      <w:tr w:rsidR="001866F9" w:rsidRPr="0046598F" w14:paraId="704E74B6" w14:textId="77777777" w:rsidTr="00950320">
        <w:tc>
          <w:tcPr>
            <w:tcW w:w="1838" w:type="dxa"/>
            <w:shd w:val="clear" w:color="auto" w:fill="DEEAF6" w:themeFill="accent1" w:themeFillTint="33"/>
            <w:noWrap/>
            <w:hideMark/>
          </w:tcPr>
          <w:p w14:paraId="3D593777" w14:textId="77777777" w:rsidR="004C2171" w:rsidRPr="004851BD" w:rsidRDefault="004C2171" w:rsidP="004C2171">
            <w:pPr>
              <w:spacing w:before="40" w:after="40"/>
              <w:rPr>
                <w:rFonts w:asciiTheme="minorBidi" w:hAnsiTheme="minorBidi" w:cstheme="minorBidi"/>
                <w:b/>
                <w:bCs/>
                <w:color w:val="000000"/>
                <w:szCs w:val="24"/>
              </w:rPr>
            </w:pPr>
            <w:r w:rsidRPr="004851BD">
              <w:rPr>
                <w:rFonts w:asciiTheme="minorBidi" w:hAnsiTheme="minorBidi" w:cstheme="minorBidi"/>
                <w:b/>
                <w:bCs/>
                <w:color w:val="000000"/>
                <w:szCs w:val="24"/>
              </w:rPr>
              <w:t>Total Costs</w:t>
            </w:r>
          </w:p>
        </w:tc>
        <w:tc>
          <w:tcPr>
            <w:tcW w:w="1134" w:type="dxa"/>
            <w:shd w:val="clear" w:color="auto" w:fill="DEEAF6" w:themeFill="accent1" w:themeFillTint="33"/>
            <w:noWrap/>
            <w:hideMark/>
          </w:tcPr>
          <w:p w14:paraId="22B196D1" w14:textId="6318C0A1" w:rsidR="004C2171" w:rsidRPr="004851BD" w:rsidRDefault="00711855" w:rsidP="004C2171">
            <w:pPr>
              <w:spacing w:before="40" w:after="40"/>
              <w:jc w:val="center"/>
              <w:rPr>
                <w:rFonts w:asciiTheme="minorBidi" w:hAnsiTheme="minorBidi" w:cstheme="minorBidi"/>
                <w:b/>
                <w:bCs/>
                <w:color w:val="000000"/>
                <w:szCs w:val="24"/>
              </w:rPr>
            </w:pPr>
            <w:r w:rsidRPr="004851BD">
              <w:rPr>
                <w:b/>
                <w:bCs/>
                <w:color w:val="000000"/>
                <w:szCs w:val="24"/>
              </w:rPr>
              <w:t>£</w:t>
            </w:r>
            <w:r w:rsidR="004C2171" w:rsidRPr="004851BD">
              <w:rPr>
                <w:b/>
                <w:bCs/>
                <w:color w:val="000000"/>
                <w:szCs w:val="24"/>
              </w:rPr>
              <w:t>0.8</w:t>
            </w:r>
            <w:r w:rsidR="000E60E7">
              <w:rPr>
                <w:b/>
                <w:bCs/>
                <w:color w:val="000000"/>
                <w:szCs w:val="24"/>
              </w:rPr>
              <w:t>3</w:t>
            </w:r>
            <w:r w:rsidR="00E757DA" w:rsidRPr="004851BD">
              <w:rPr>
                <w:b/>
                <w:bCs/>
                <w:color w:val="000000"/>
                <w:szCs w:val="24"/>
              </w:rPr>
              <w:t>m</w:t>
            </w:r>
          </w:p>
        </w:tc>
        <w:tc>
          <w:tcPr>
            <w:tcW w:w="1559" w:type="dxa"/>
            <w:shd w:val="clear" w:color="auto" w:fill="DEEAF6" w:themeFill="accent1" w:themeFillTint="33"/>
            <w:noWrap/>
            <w:hideMark/>
          </w:tcPr>
          <w:p w14:paraId="11F38773" w14:textId="47A2BC46" w:rsidR="004C2171" w:rsidRPr="004851BD" w:rsidRDefault="00E757DA" w:rsidP="004C2171">
            <w:pPr>
              <w:spacing w:before="40" w:after="40"/>
              <w:jc w:val="center"/>
              <w:rPr>
                <w:rFonts w:asciiTheme="minorBidi" w:hAnsiTheme="minorBidi" w:cstheme="minorBidi"/>
                <w:b/>
                <w:bCs/>
                <w:color w:val="000000"/>
                <w:szCs w:val="24"/>
              </w:rPr>
            </w:pPr>
            <w:r w:rsidRPr="004851BD">
              <w:rPr>
                <w:b/>
                <w:bCs/>
                <w:color w:val="000000"/>
                <w:szCs w:val="24"/>
              </w:rPr>
              <w:t>£</w:t>
            </w:r>
            <w:r w:rsidR="004C2171" w:rsidRPr="004851BD">
              <w:rPr>
                <w:b/>
                <w:bCs/>
                <w:color w:val="000000"/>
                <w:szCs w:val="24"/>
              </w:rPr>
              <w:t>0.</w:t>
            </w:r>
            <w:r w:rsidR="000E60E7">
              <w:rPr>
                <w:b/>
                <w:bCs/>
                <w:color w:val="000000"/>
                <w:szCs w:val="24"/>
              </w:rPr>
              <w:t>00</w:t>
            </w:r>
            <w:r w:rsidRPr="004851BD">
              <w:rPr>
                <w:b/>
                <w:bCs/>
                <w:color w:val="000000"/>
                <w:szCs w:val="24"/>
              </w:rPr>
              <w:t>m</w:t>
            </w:r>
          </w:p>
        </w:tc>
        <w:tc>
          <w:tcPr>
            <w:tcW w:w="1331" w:type="dxa"/>
            <w:shd w:val="clear" w:color="auto" w:fill="DEEAF6" w:themeFill="accent1" w:themeFillTint="33"/>
            <w:noWrap/>
            <w:hideMark/>
          </w:tcPr>
          <w:p w14:paraId="46A0111B" w14:textId="491DB6D3" w:rsidR="004C2171" w:rsidRPr="004851BD" w:rsidRDefault="00E757DA" w:rsidP="004C2171">
            <w:pPr>
              <w:spacing w:before="40" w:after="40"/>
              <w:jc w:val="center"/>
              <w:rPr>
                <w:rFonts w:asciiTheme="minorBidi" w:hAnsiTheme="minorBidi" w:cstheme="minorBidi"/>
                <w:b/>
                <w:bCs/>
                <w:color w:val="000000"/>
                <w:szCs w:val="24"/>
              </w:rPr>
            </w:pPr>
            <w:r w:rsidRPr="004851BD">
              <w:rPr>
                <w:b/>
                <w:bCs/>
                <w:color w:val="000000"/>
                <w:szCs w:val="24"/>
              </w:rPr>
              <w:t>£</w:t>
            </w:r>
            <w:r w:rsidR="000531EA" w:rsidRPr="004851BD">
              <w:rPr>
                <w:b/>
                <w:bCs/>
                <w:color w:val="000000"/>
                <w:szCs w:val="24"/>
              </w:rPr>
              <w:t>0.</w:t>
            </w:r>
            <w:r w:rsidR="00850ADB">
              <w:rPr>
                <w:b/>
                <w:bCs/>
                <w:color w:val="000000"/>
                <w:szCs w:val="24"/>
              </w:rPr>
              <w:t>83</w:t>
            </w:r>
            <w:r w:rsidRPr="004851BD">
              <w:rPr>
                <w:b/>
                <w:bCs/>
                <w:color w:val="000000"/>
                <w:szCs w:val="24"/>
              </w:rPr>
              <w:t>m</w:t>
            </w:r>
          </w:p>
        </w:tc>
        <w:tc>
          <w:tcPr>
            <w:tcW w:w="2090" w:type="dxa"/>
            <w:shd w:val="clear" w:color="auto" w:fill="DEEAF6" w:themeFill="accent1" w:themeFillTint="33"/>
            <w:noWrap/>
            <w:hideMark/>
          </w:tcPr>
          <w:p w14:paraId="05BD19D8" w14:textId="13FB9DFD" w:rsidR="004C2171" w:rsidRPr="004851BD" w:rsidRDefault="00E757DA" w:rsidP="004C2171">
            <w:pPr>
              <w:spacing w:before="40" w:after="40"/>
              <w:jc w:val="center"/>
              <w:rPr>
                <w:rFonts w:asciiTheme="minorBidi" w:hAnsiTheme="minorBidi" w:cstheme="minorBidi"/>
                <w:b/>
                <w:bCs/>
                <w:color w:val="000000"/>
                <w:szCs w:val="24"/>
              </w:rPr>
            </w:pPr>
            <w:r w:rsidRPr="004851BD">
              <w:rPr>
                <w:b/>
                <w:bCs/>
                <w:color w:val="000000"/>
                <w:szCs w:val="24"/>
              </w:rPr>
              <w:t>£</w:t>
            </w:r>
            <w:r w:rsidR="004C2171" w:rsidRPr="004851BD">
              <w:rPr>
                <w:b/>
                <w:bCs/>
                <w:color w:val="000000"/>
                <w:szCs w:val="24"/>
              </w:rPr>
              <w:t>0.</w:t>
            </w:r>
            <w:r w:rsidR="00850ADB">
              <w:rPr>
                <w:b/>
                <w:bCs/>
                <w:color w:val="000000"/>
                <w:szCs w:val="24"/>
              </w:rPr>
              <w:t>83</w:t>
            </w:r>
            <w:r w:rsidRPr="004851BD">
              <w:rPr>
                <w:b/>
                <w:bCs/>
                <w:color w:val="000000"/>
                <w:szCs w:val="24"/>
              </w:rPr>
              <w:t>m</w:t>
            </w:r>
          </w:p>
        </w:tc>
        <w:tc>
          <w:tcPr>
            <w:tcW w:w="2118" w:type="dxa"/>
            <w:shd w:val="clear" w:color="auto" w:fill="DEEAF6" w:themeFill="accent1" w:themeFillTint="33"/>
            <w:noWrap/>
            <w:hideMark/>
          </w:tcPr>
          <w:p w14:paraId="42952F90" w14:textId="36E8A483" w:rsidR="004C2171" w:rsidRPr="004851BD" w:rsidRDefault="00E757DA" w:rsidP="004C2171">
            <w:pPr>
              <w:spacing w:before="40" w:after="40"/>
              <w:jc w:val="center"/>
              <w:rPr>
                <w:rFonts w:asciiTheme="minorBidi" w:hAnsiTheme="minorBidi" w:cstheme="minorBidi"/>
                <w:b/>
                <w:bCs/>
                <w:color w:val="000000"/>
                <w:szCs w:val="24"/>
              </w:rPr>
            </w:pPr>
            <w:r w:rsidRPr="004851BD">
              <w:rPr>
                <w:b/>
                <w:color w:val="000000"/>
                <w:szCs w:val="24"/>
              </w:rPr>
              <w:t>£</w:t>
            </w:r>
            <w:r w:rsidR="004C2171" w:rsidRPr="004851BD">
              <w:rPr>
                <w:b/>
                <w:color w:val="000000"/>
                <w:szCs w:val="24"/>
              </w:rPr>
              <w:t>0.</w:t>
            </w:r>
            <w:r w:rsidR="004C2171" w:rsidRPr="004851BD">
              <w:rPr>
                <w:b/>
                <w:bCs/>
                <w:color w:val="000000"/>
                <w:szCs w:val="24"/>
              </w:rPr>
              <w:t>1</w:t>
            </w:r>
            <w:r w:rsidR="005F1344">
              <w:rPr>
                <w:b/>
                <w:bCs/>
                <w:color w:val="000000"/>
                <w:szCs w:val="24"/>
              </w:rPr>
              <w:t>0</w:t>
            </w:r>
            <w:r w:rsidRPr="004851BD">
              <w:rPr>
                <w:b/>
                <w:bCs/>
                <w:color w:val="000000"/>
                <w:szCs w:val="24"/>
              </w:rPr>
              <w:t>m</w:t>
            </w:r>
          </w:p>
        </w:tc>
      </w:tr>
      <w:tr w:rsidR="001866F9" w:rsidRPr="0046598F" w14:paraId="72B99489" w14:textId="77777777" w:rsidTr="00950320">
        <w:tc>
          <w:tcPr>
            <w:tcW w:w="1838" w:type="dxa"/>
            <w:shd w:val="clear" w:color="auto" w:fill="DEEAF6" w:themeFill="accent1" w:themeFillTint="33"/>
            <w:noWrap/>
            <w:hideMark/>
          </w:tcPr>
          <w:p w14:paraId="0CE05C50" w14:textId="77777777" w:rsidR="004C2171" w:rsidRPr="004851BD" w:rsidRDefault="004C2171" w:rsidP="004C2171">
            <w:pPr>
              <w:spacing w:before="40" w:after="40"/>
              <w:rPr>
                <w:rFonts w:asciiTheme="minorBidi" w:hAnsiTheme="minorBidi" w:cstheme="minorBidi"/>
                <w:color w:val="000000"/>
                <w:szCs w:val="24"/>
              </w:rPr>
            </w:pPr>
            <w:r w:rsidRPr="004851BD">
              <w:rPr>
                <w:rFonts w:asciiTheme="minorBidi" w:hAnsiTheme="minorBidi" w:cstheme="minorBidi"/>
                <w:color w:val="000000"/>
                <w:szCs w:val="24"/>
              </w:rPr>
              <w:t>Low</w:t>
            </w:r>
          </w:p>
        </w:tc>
        <w:tc>
          <w:tcPr>
            <w:tcW w:w="1134" w:type="dxa"/>
            <w:shd w:val="clear" w:color="auto" w:fill="DEEAF6" w:themeFill="accent1" w:themeFillTint="33"/>
            <w:noWrap/>
            <w:hideMark/>
          </w:tcPr>
          <w:p w14:paraId="164215A6" w14:textId="15FC18DF" w:rsidR="004C2171" w:rsidRPr="009B4F13" w:rsidRDefault="00711855" w:rsidP="004C2171">
            <w:pPr>
              <w:spacing w:before="40" w:after="40"/>
              <w:jc w:val="center"/>
              <w:rPr>
                <w:rFonts w:asciiTheme="minorBidi" w:hAnsiTheme="minorBidi" w:cstheme="minorBidi"/>
                <w:color w:val="000000"/>
                <w:szCs w:val="24"/>
              </w:rPr>
            </w:pPr>
            <w:r w:rsidRPr="009B4F13">
              <w:rPr>
                <w:color w:val="000000"/>
                <w:szCs w:val="24"/>
              </w:rPr>
              <w:t>£</w:t>
            </w:r>
            <w:r w:rsidR="004C2171" w:rsidRPr="009B4F13">
              <w:rPr>
                <w:color w:val="000000"/>
                <w:szCs w:val="24"/>
              </w:rPr>
              <w:t>0.7</w:t>
            </w:r>
            <w:r w:rsidR="000E60E7">
              <w:rPr>
                <w:color w:val="000000"/>
                <w:szCs w:val="24"/>
              </w:rPr>
              <w:t>6</w:t>
            </w:r>
            <w:r w:rsidR="00E757DA" w:rsidRPr="009B4F13">
              <w:rPr>
                <w:color w:val="000000"/>
                <w:szCs w:val="24"/>
              </w:rPr>
              <w:t>m</w:t>
            </w:r>
          </w:p>
        </w:tc>
        <w:tc>
          <w:tcPr>
            <w:tcW w:w="1559" w:type="dxa"/>
            <w:shd w:val="clear" w:color="auto" w:fill="DEEAF6" w:themeFill="accent1" w:themeFillTint="33"/>
            <w:noWrap/>
            <w:hideMark/>
          </w:tcPr>
          <w:p w14:paraId="004537B5" w14:textId="0352F057" w:rsidR="004C2171" w:rsidRPr="009B4F13" w:rsidRDefault="00E757DA" w:rsidP="004C2171">
            <w:pPr>
              <w:spacing w:before="40" w:after="40"/>
              <w:jc w:val="center"/>
              <w:rPr>
                <w:rFonts w:asciiTheme="minorBidi" w:hAnsiTheme="minorBidi" w:cstheme="minorBidi"/>
                <w:color w:val="000000"/>
                <w:szCs w:val="24"/>
              </w:rPr>
            </w:pPr>
            <w:r w:rsidRPr="009B4F13">
              <w:rPr>
                <w:color w:val="000000"/>
                <w:szCs w:val="24"/>
              </w:rPr>
              <w:t>£</w:t>
            </w:r>
            <w:r w:rsidR="004C2171" w:rsidRPr="009B4F13">
              <w:rPr>
                <w:color w:val="000000"/>
                <w:szCs w:val="24"/>
              </w:rPr>
              <w:t>0.</w:t>
            </w:r>
            <w:r w:rsidR="000E60E7">
              <w:rPr>
                <w:color w:val="000000"/>
                <w:szCs w:val="24"/>
              </w:rPr>
              <w:t>00</w:t>
            </w:r>
            <w:r w:rsidRPr="009B4F13">
              <w:rPr>
                <w:color w:val="000000"/>
                <w:szCs w:val="24"/>
              </w:rPr>
              <w:t>m</w:t>
            </w:r>
          </w:p>
        </w:tc>
        <w:tc>
          <w:tcPr>
            <w:tcW w:w="1331" w:type="dxa"/>
            <w:shd w:val="clear" w:color="auto" w:fill="DEEAF6" w:themeFill="accent1" w:themeFillTint="33"/>
            <w:noWrap/>
            <w:hideMark/>
          </w:tcPr>
          <w:p w14:paraId="7A76C948" w14:textId="1FDAFE78" w:rsidR="004C2171" w:rsidRPr="009B4F13" w:rsidRDefault="00E757DA" w:rsidP="004C2171">
            <w:pPr>
              <w:spacing w:before="40" w:after="40"/>
              <w:jc w:val="center"/>
              <w:rPr>
                <w:rFonts w:asciiTheme="minorBidi" w:hAnsiTheme="minorBidi" w:cstheme="minorBidi"/>
                <w:color w:val="000000"/>
                <w:szCs w:val="24"/>
              </w:rPr>
            </w:pPr>
            <w:r w:rsidRPr="009B4F13">
              <w:rPr>
                <w:color w:val="000000"/>
                <w:szCs w:val="24"/>
              </w:rPr>
              <w:t>£</w:t>
            </w:r>
            <w:r w:rsidR="004C2171" w:rsidRPr="009B4F13">
              <w:rPr>
                <w:color w:val="000000"/>
                <w:szCs w:val="24"/>
              </w:rPr>
              <w:t>0.</w:t>
            </w:r>
            <w:r w:rsidR="00850ADB">
              <w:rPr>
                <w:color w:val="000000"/>
                <w:szCs w:val="24"/>
              </w:rPr>
              <w:t>76</w:t>
            </w:r>
            <w:r w:rsidRPr="009B4F13">
              <w:rPr>
                <w:color w:val="000000"/>
                <w:szCs w:val="24"/>
              </w:rPr>
              <w:t>m</w:t>
            </w:r>
          </w:p>
        </w:tc>
        <w:tc>
          <w:tcPr>
            <w:tcW w:w="2090" w:type="dxa"/>
            <w:shd w:val="clear" w:color="auto" w:fill="DEEAF6" w:themeFill="accent1" w:themeFillTint="33"/>
            <w:noWrap/>
            <w:hideMark/>
          </w:tcPr>
          <w:p w14:paraId="3A14C7A5" w14:textId="353C4100" w:rsidR="004C2171" w:rsidRPr="009B4F13" w:rsidRDefault="00E757DA" w:rsidP="004C2171">
            <w:pPr>
              <w:spacing w:before="40" w:after="40"/>
              <w:jc w:val="center"/>
              <w:rPr>
                <w:rFonts w:asciiTheme="minorBidi" w:hAnsiTheme="minorBidi" w:cstheme="minorBidi"/>
                <w:color w:val="000000"/>
                <w:szCs w:val="24"/>
              </w:rPr>
            </w:pPr>
            <w:r w:rsidRPr="009B4F13">
              <w:rPr>
                <w:color w:val="000000"/>
                <w:szCs w:val="24"/>
              </w:rPr>
              <w:t>£</w:t>
            </w:r>
            <w:r w:rsidR="004C2171" w:rsidRPr="009B4F13">
              <w:rPr>
                <w:color w:val="000000"/>
                <w:szCs w:val="24"/>
              </w:rPr>
              <w:t>0.</w:t>
            </w:r>
            <w:r w:rsidR="005F1344">
              <w:rPr>
                <w:color w:val="000000"/>
                <w:szCs w:val="24"/>
              </w:rPr>
              <w:t>76</w:t>
            </w:r>
            <w:r w:rsidRPr="009B4F13">
              <w:rPr>
                <w:color w:val="000000"/>
                <w:szCs w:val="24"/>
              </w:rPr>
              <w:t>m</w:t>
            </w:r>
          </w:p>
        </w:tc>
        <w:tc>
          <w:tcPr>
            <w:tcW w:w="2118" w:type="dxa"/>
            <w:shd w:val="clear" w:color="auto" w:fill="DEEAF6" w:themeFill="accent1" w:themeFillTint="33"/>
            <w:noWrap/>
            <w:hideMark/>
          </w:tcPr>
          <w:p w14:paraId="4A3BC9CD" w14:textId="63966C59" w:rsidR="004C2171" w:rsidRPr="009B4F13" w:rsidRDefault="00E757DA" w:rsidP="004C2171">
            <w:pPr>
              <w:spacing w:before="40" w:after="40"/>
              <w:jc w:val="center"/>
              <w:rPr>
                <w:rFonts w:asciiTheme="minorBidi" w:hAnsiTheme="minorBidi" w:cstheme="minorBidi"/>
                <w:color w:val="000000"/>
                <w:szCs w:val="24"/>
              </w:rPr>
            </w:pPr>
            <w:r w:rsidRPr="009B4F13">
              <w:rPr>
                <w:color w:val="000000"/>
                <w:szCs w:val="24"/>
              </w:rPr>
              <w:t>£</w:t>
            </w:r>
            <w:r w:rsidR="004C2171" w:rsidRPr="009B4F13">
              <w:rPr>
                <w:color w:val="000000"/>
                <w:szCs w:val="24"/>
              </w:rPr>
              <w:t>0.</w:t>
            </w:r>
            <w:r w:rsidR="005F1344">
              <w:rPr>
                <w:color w:val="000000"/>
                <w:szCs w:val="24"/>
              </w:rPr>
              <w:t>09</w:t>
            </w:r>
            <w:r w:rsidRPr="009B4F13">
              <w:rPr>
                <w:color w:val="000000"/>
                <w:szCs w:val="24"/>
              </w:rPr>
              <w:t>m</w:t>
            </w:r>
          </w:p>
        </w:tc>
      </w:tr>
      <w:tr w:rsidR="001866F9" w:rsidRPr="0046598F" w14:paraId="6FFD9738" w14:textId="77777777" w:rsidTr="00950320">
        <w:tc>
          <w:tcPr>
            <w:tcW w:w="1838" w:type="dxa"/>
            <w:tcBorders>
              <w:bottom w:val="single" w:sz="4" w:space="0" w:color="auto"/>
            </w:tcBorders>
            <w:shd w:val="clear" w:color="auto" w:fill="DEEAF6" w:themeFill="accent1" w:themeFillTint="33"/>
            <w:noWrap/>
            <w:hideMark/>
          </w:tcPr>
          <w:p w14:paraId="54844E85" w14:textId="77777777" w:rsidR="004C2171" w:rsidRPr="004851BD" w:rsidRDefault="004C2171" w:rsidP="004C2171">
            <w:pPr>
              <w:spacing w:before="40" w:after="40"/>
              <w:rPr>
                <w:rFonts w:asciiTheme="minorBidi" w:hAnsiTheme="minorBidi" w:cstheme="minorBidi"/>
                <w:color w:val="000000"/>
                <w:szCs w:val="24"/>
              </w:rPr>
            </w:pPr>
            <w:r w:rsidRPr="004851BD">
              <w:rPr>
                <w:rFonts w:asciiTheme="minorBidi" w:hAnsiTheme="minorBidi" w:cstheme="minorBidi"/>
                <w:color w:val="000000"/>
                <w:szCs w:val="24"/>
              </w:rPr>
              <w:t>High</w:t>
            </w:r>
          </w:p>
        </w:tc>
        <w:tc>
          <w:tcPr>
            <w:tcW w:w="1134" w:type="dxa"/>
            <w:tcBorders>
              <w:bottom w:val="single" w:sz="4" w:space="0" w:color="auto"/>
            </w:tcBorders>
            <w:shd w:val="clear" w:color="auto" w:fill="DEEAF6" w:themeFill="accent1" w:themeFillTint="33"/>
            <w:noWrap/>
            <w:hideMark/>
          </w:tcPr>
          <w:p w14:paraId="72C51CCE" w14:textId="1CC779E3" w:rsidR="004C2171" w:rsidRPr="009B4F13" w:rsidRDefault="00711855" w:rsidP="004C2171">
            <w:pPr>
              <w:spacing w:before="40" w:after="40"/>
              <w:jc w:val="center"/>
              <w:rPr>
                <w:rFonts w:asciiTheme="minorBidi" w:hAnsiTheme="minorBidi" w:cstheme="minorBidi"/>
                <w:color w:val="000000"/>
                <w:szCs w:val="24"/>
              </w:rPr>
            </w:pPr>
            <w:r w:rsidRPr="009B4F13">
              <w:rPr>
                <w:color w:val="000000"/>
                <w:szCs w:val="24"/>
              </w:rPr>
              <w:t>£</w:t>
            </w:r>
            <w:r w:rsidR="004C2171" w:rsidRPr="009B4F13">
              <w:rPr>
                <w:color w:val="000000"/>
                <w:szCs w:val="24"/>
              </w:rPr>
              <w:t>0.9</w:t>
            </w:r>
            <w:r w:rsidR="000E60E7">
              <w:rPr>
                <w:color w:val="000000"/>
                <w:szCs w:val="24"/>
              </w:rPr>
              <w:t>0</w:t>
            </w:r>
            <w:r w:rsidR="00E757DA" w:rsidRPr="009B4F13">
              <w:rPr>
                <w:color w:val="000000"/>
                <w:szCs w:val="24"/>
              </w:rPr>
              <w:t>m</w:t>
            </w:r>
          </w:p>
        </w:tc>
        <w:tc>
          <w:tcPr>
            <w:tcW w:w="1559" w:type="dxa"/>
            <w:tcBorders>
              <w:bottom w:val="single" w:sz="4" w:space="0" w:color="auto"/>
            </w:tcBorders>
            <w:shd w:val="clear" w:color="auto" w:fill="DEEAF6" w:themeFill="accent1" w:themeFillTint="33"/>
            <w:noWrap/>
            <w:hideMark/>
          </w:tcPr>
          <w:p w14:paraId="0EEEF889" w14:textId="2B9BADFE" w:rsidR="004C2171" w:rsidRPr="009B4F13" w:rsidRDefault="00E757DA" w:rsidP="004C2171">
            <w:pPr>
              <w:spacing w:before="40" w:after="40"/>
              <w:jc w:val="center"/>
              <w:rPr>
                <w:rFonts w:asciiTheme="minorBidi" w:hAnsiTheme="minorBidi" w:cstheme="minorBidi"/>
                <w:color w:val="000000"/>
                <w:szCs w:val="24"/>
              </w:rPr>
            </w:pPr>
            <w:r w:rsidRPr="009B4F13">
              <w:rPr>
                <w:color w:val="000000"/>
                <w:szCs w:val="24"/>
              </w:rPr>
              <w:t>£</w:t>
            </w:r>
            <w:r w:rsidR="004C2171" w:rsidRPr="009B4F13">
              <w:rPr>
                <w:color w:val="000000"/>
                <w:szCs w:val="24"/>
              </w:rPr>
              <w:t>0.</w:t>
            </w:r>
            <w:r w:rsidR="000E60E7">
              <w:rPr>
                <w:color w:val="000000"/>
                <w:szCs w:val="24"/>
              </w:rPr>
              <w:t>00</w:t>
            </w:r>
            <w:r w:rsidRPr="009B4F13">
              <w:rPr>
                <w:color w:val="000000"/>
                <w:szCs w:val="24"/>
              </w:rPr>
              <w:t>m</w:t>
            </w:r>
          </w:p>
        </w:tc>
        <w:tc>
          <w:tcPr>
            <w:tcW w:w="1331" w:type="dxa"/>
            <w:tcBorders>
              <w:bottom w:val="single" w:sz="4" w:space="0" w:color="auto"/>
            </w:tcBorders>
            <w:shd w:val="clear" w:color="auto" w:fill="DEEAF6" w:themeFill="accent1" w:themeFillTint="33"/>
            <w:noWrap/>
            <w:hideMark/>
          </w:tcPr>
          <w:p w14:paraId="00C15041" w14:textId="0E6EA96A" w:rsidR="004C2171" w:rsidRPr="009B4F13" w:rsidRDefault="00E757DA" w:rsidP="004C2171">
            <w:pPr>
              <w:spacing w:before="40" w:after="40"/>
              <w:jc w:val="center"/>
              <w:rPr>
                <w:rFonts w:asciiTheme="minorBidi" w:hAnsiTheme="minorBidi" w:cstheme="minorBidi"/>
                <w:color w:val="000000"/>
                <w:szCs w:val="24"/>
              </w:rPr>
            </w:pPr>
            <w:r w:rsidRPr="009B4F13">
              <w:rPr>
                <w:color w:val="000000"/>
                <w:szCs w:val="24"/>
              </w:rPr>
              <w:t>£</w:t>
            </w:r>
            <w:r w:rsidR="00850ADB">
              <w:rPr>
                <w:color w:val="000000"/>
                <w:szCs w:val="24"/>
              </w:rPr>
              <w:t>0.90</w:t>
            </w:r>
            <w:r w:rsidRPr="009B4F13">
              <w:rPr>
                <w:color w:val="000000"/>
                <w:szCs w:val="24"/>
              </w:rPr>
              <w:t>m</w:t>
            </w:r>
          </w:p>
        </w:tc>
        <w:tc>
          <w:tcPr>
            <w:tcW w:w="2090" w:type="dxa"/>
            <w:tcBorders>
              <w:bottom w:val="single" w:sz="4" w:space="0" w:color="auto"/>
            </w:tcBorders>
            <w:shd w:val="clear" w:color="auto" w:fill="DEEAF6" w:themeFill="accent1" w:themeFillTint="33"/>
            <w:noWrap/>
            <w:hideMark/>
          </w:tcPr>
          <w:p w14:paraId="13306EBC" w14:textId="46660D91" w:rsidR="004C2171" w:rsidRPr="009B4F13" w:rsidRDefault="00E757DA" w:rsidP="004C2171">
            <w:pPr>
              <w:spacing w:before="40" w:after="40"/>
              <w:jc w:val="center"/>
              <w:rPr>
                <w:rFonts w:asciiTheme="minorBidi" w:hAnsiTheme="minorBidi" w:cstheme="minorBidi"/>
                <w:color w:val="000000"/>
                <w:szCs w:val="24"/>
              </w:rPr>
            </w:pPr>
            <w:r w:rsidRPr="009B4F13">
              <w:rPr>
                <w:color w:val="000000"/>
                <w:szCs w:val="24"/>
              </w:rPr>
              <w:t>£</w:t>
            </w:r>
            <w:r w:rsidR="005F1344">
              <w:rPr>
                <w:color w:val="000000"/>
                <w:szCs w:val="24"/>
              </w:rPr>
              <w:t>0.90</w:t>
            </w:r>
            <w:r w:rsidRPr="009B4F13">
              <w:rPr>
                <w:color w:val="000000"/>
                <w:szCs w:val="24"/>
              </w:rPr>
              <w:t>m</w:t>
            </w:r>
          </w:p>
        </w:tc>
        <w:tc>
          <w:tcPr>
            <w:tcW w:w="2118" w:type="dxa"/>
            <w:tcBorders>
              <w:bottom w:val="single" w:sz="4" w:space="0" w:color="auto"/>
            </w:tcBorders>
            <w:shd w:val="clear" w:color="auto" w:fill="DEEAF6" w:themeFill="accent1" w:themeFillTint="33"/>
            <w:noWrap/>
            <w:hideMark/>
          </w:tcPr>
          <w:p w14:paraId="4414E0B7" w14:textId="54234725" w:rsidR="004C2171" w:rsidRPr="009B4F13" w:rsidRDefault="00E757DA" w:rsidP="004C2171">
            <w:pPr>
              <w:spacing w:before="40" w:after="40"/>
              <w:jc w:val="center"/>
              <w:rPr>
                <w:rFonts w:asciiTheme="minorBidi" w:hAnsiTheme="minorBidi" w:cstheme="minorBidi"/>
                <w:color w:val="000000"/>
                <w:szCs w:val="24"/>
              </w:rPr>
            </w:pPr>
            <w:r w:rsidRPr="009B4F13">
              <w:rPr>
                <w:color w:val="000000"/>
                <w:szCs w:val="24"/>
              </w:rPr>
              <w:t>£</w:t>
            </w:r>
            <w:r w:rsidR="004C2171" w:rsidRPr="009B4F13">
              <w:rPr>
                <w:color w:val="000000"/>
                <w:szCs w:val="24"/>
              </w:rPr>
              <w:t>0.1</w:t>
            </w:r>
            <w:r w:rsidR="005F1344">
              <w:rPr>
                <w:color w:val="000000"/>
                <w:szCs w:val="24"/>
              </w:rPr>
              <w:t>0</w:t>
            </w:r>
            <w:r w:rsidRPr="009B4F13">
              <w:rPr>
                <w:color w:val="000000"/>
                <w:szCs w:val="24"/>
              </w:rPr>
              <w:t>m</w:t>
            </w:r>
          </w:p>
        </w:tc>
      </w:tr>
      <w:tr w:rsidR="001866F9" w:rsidRPr="0046598F" w14:paraId="236AD170" w14:textId="77777777" w:rsidTr="00950320">
        <w:tc>
          <w:tcPr>
            <w:tcW w:w="1838" w:type="dxa"/>
            <w:shd w:val="clear" w:color="auto" w:fill="FFFF00"/>
            <w:noWrap/>
            <w:hideMark/>
          </w:tcPr>
          <w:p w14:paraId="6E9F337B" w14:textId="77777777" w:rsidR="004C2171" w:rsidRPr="0057205E" w:rsidRDefault="004C2171" w:rsidP="004C2171">
            <w:pPr>
              <w:spacing w:before="40" w:after="40"/>
              <w:rPr>
                <w:rFonts w:asciiTheme="minorBidi" w:hAnsiTheme="minorBidi" w:cstheme="minorBidi"/>
                <w:b/>
                <w:color w:val="000000"/>
                <w:szCs w:val="24"/>
              </w:rPr>
            </w:pPr>
            <w:r w:rsidRPr="0057205E">
              <w:rPr>
                <w:rFonts w:asciiTheme="minorBidi" w:hAnsiTheme="minorBidi" w:cstheme="minorBidi"/>
                <w:b/>
                <w:color w:val="000000"/>
                <w:szCs w:val="24"/>
              </w:rPr>
              <w:t>Total Benefits</w:t>
            </w:r>
          </w:p>
        </w:tc>
        <w:tc>
          <w:tcPr>
            <w:tcW w:w="1134" w:type="dxa"/>
            <w:shd w:val="clear" w:color="auto" w:fill="FFFF00"/>
            <w:noWrap/>
            <w:hideMark/>
          </w:tcPr>
          <w:p w14:paraId="6C86E480" w14:textId="77777777" w:rsidR="004C2171" w:rsidRPr="004851BD" w:rsidRDefault="004C2171" w:rsidP="004C2171">
            <w:pPr>
              <w:spacing w:before="40" w:after="40"/>
              <w:jc w:val="center"/>
              <w:rPr>
                <w:b/>
                <w:color w:val="000000"/>
                <w:szCs w:val="24"/>
              </w:rPr>
            </w:pPr>
            <w:r w:rsidRPr="004851BD">
              <w:rPr>
                <w:b/>
                <w:color w:val="000000"/>
                <w:szCs w:val="24"/>
              </w:rPr>
              <w:t>£0.00m</w:t>
            </w:r>
          </w:p>
        </w:tc>
        <w:tc>
          <w:tcPr>
            <w:tcW w:w="1559" w:type="dxa"/>
            <w:shd w:val="clear" w:color="auto" w:fill="FFFF00"/>
            <w:noWrap/>
            <w:hideMark/>
          </w:tcPr>
          <w:p w14:paraId="0DF8F538" w14:textId="71F98E4D" w:rsidR="004C2171" w:rsidRPr="004851BD" w:rsidRDefault="004C2171" w:rsidP="004C2171">
            <w:pPr>
              <w:spacing w:before="40" w:after="40"/>
              <w:jc w:val="center"/>
              <w:rPr>
                <w:b/>
                <w:color w:val="000000"/>
                <w:szCs w:val="24"/>
              </w:rPr>
            </w:pPr>
            <w:r w:rsidRPr="004851BD">
              <w:rPr>
                <w:b/>
                <w:color w:val="000000"/>
                <w:szCs w:val="24"/>
              </w:rPr>
              <w:t>£</w:t>
            </w:r>
            <w:r w:rsidR="002E0AE6" w:rsidRPr="004851BD">
              <w:rPr>
                <w:b/>
                <w:bCs/>
                <w:color w:val="000000"/>
                <w:szCs w:val="24"/>
              </w:rPr>
              <w:t>0</w:t>
            </w:r>
            <w:r w:rsidRPr="004851BD">
              <w:rPr>
                <w:b/>
                <w:color w:val="000000"/>
                <w:szCs w:val="24"/>
              </w:rPr>
              <w:t>.00m</w:t>
            </w:r>
          </w:p>
        </w:tc>
        <w:tc>
          <w:tcPr>
            <w:tcW w:w="1331" w:type="dxa"/>
            <w:shd w:val="clear" w:color="auto" w:fill="FFFF00"/>
            <w:noWrap/>
            <w:hideMark/>
          </w:tcPr>
          <w:p w14:paraId="22E41C6B" w14:textId="41AB0DD7" w:rsidR="004C2171" w:rsidRPr="004851BD" w:rsidRDefault="004C2171" w:rsidP="004C2171">
            <w:pPr>
              <w:spacing w:before="40" w:after="40"/>
              <w:jc w:val="center"/>
              <w:rPr>
                <w:b/>
                <w:color w:val="000000"/>
                <w:szCs w:val="24"/>
              </w:rPr>
            </w:pPr>
            <w:r w:rsidRPr="004851BD">
              <w:rPr>
                <w:b/>
                <w:color w:val="000000"/>
                <w:szCs w:val="24"/>
              </w:rPr>
              <w:t>£</w:t>
            </w:r>
            <w:r w:rsidR="002E0AE6" w:rsidRPr="004851BD">
              <w:rPr>
                <w:b/>
                <w:bCs/>
                <w:color w:val="000000"/>
                <w:szCs w:val="24"/>
              </w:rPr>
              <w:t>0</w:t>
            </w:r>
            <w:r w:rsidRPr="004851BD">
              <w:rPr>
                <w:b/>
                <w:color w:val="000000"/>
                <w:szCs w:val="24"/>
              </w:rPr>
              <w:t>.00m</w:t>
            </w:r>
          </w:p>
        </w:tc>
        <w:tc>
          <w:tcPr>
            <w:tcW w:w="2090" w:type="dxa"/>
            <w:shd w:val="clear" w:color="auto" w:fill="FFFF00"/>
            <w:noWrap/>
            <w:hideMark/>
          </w:tcPr>
          <w:p w14:paraId="2422FBC1" w14:textId="17D917F1" w:rsidR="004C2171" w:rsidRPr="004851BD" w:rsidRDefault="004C2171" w:rsidP="004C2171">
            <w:pPr>
              <w:spacing w:before="40" w:after="40"/>
              <w:jc w:val="center"/>
              <w:rPr>
                <w:b/>
                <w:color w:val="000000"/>
                <w:szCs w:val="24"/>
              </w:rPr>
            </w:pPr>
            <w:r w:rsidRPr="004851BD">
              <w:rPr>
                <w:b/>
                <w:color w:val="000000"/>
                <w:szCs w:val="24"/>
              </w:rPr>
              <w:t>£</w:t>
            </w:r>
            <w:r w:rsidR="002E0AE6" w:rsidRPr="004851BD">
              <w:rPr>
                <w:b/>
                <w:bCs/>
                <w:color w:val="000000"/>
                <w:szCs w:val="24"/>
              </w:rPr>
              <w:t>0</w:t>
            </w:r>
            <w:r w:rsidRPr="004851BD">
              <w:rPr>
                <w:b/>
                <w:color w:val="000000"/>
                <w:szCs w:val="24"/>
              </w:rPr>
              <w:t>.</w:t>
            </w:r>
            <w:r w:rsidR="002E0AE6" w:rsidRPr="004851BD">
              <w:rPr>
                <w:b/>
                <w:bCs/>
                <w:color w:val="000000"/>
                <w:szCs w:val="24"/>
              </w:rPr>
              <w:t>00</w:t>
            </w:r>
            <w:r w:rsidRPr="004851BD">
              <w:rPr>
                <w:b/>
                <w:color w:val="000000"/>
                <w:szCs w:val="24"/>
              </w:rPr>
              <w:t>m</w:t>
            </w:r>
          </w:p>
        </w:tc>
        <w:tc>
          <w:tcPr>
            <w:tcW w:w="2118" w:type="dxa"/>
            <w:shd w:val="clear" w:color="auto" w:fill="FFFF00"/>
            <w:noWrap/>
            <w:hideMark/>
          </w:tcPr>
          <w:p w14:paraId="6D20EE82" w14:textId="32D06BD1" w:rsidR="004C2171" w:rsidRPr="004851BD" w:rsidRDefault="004C2171" w:rsidP="004C2171">
            <w:pPr>
              <w:spacing w:before="40" w:after="40"/>
              <w:jc w:val="center"/>
              <w:rPr>
                <w:b/>
                <w:color w:val="000000"/>
                <w:szCs w:val="24"/>
              </w:rPr>
            </w:pPr>
            <w:r w:rsidRPr="004851BD">
              <w:rPr>
                <w:b/>
                <w:color w:val="000000"/>
                <w:szCs w:val="24"/>
              </w:rPr>
              <w:t>£0.</w:t>
            </w:r>
            <w:r w:rsidR="002E0AE6" w:rsidRPr="004851BD">
              <w:rPr>
                <w:b/>
                <w:bCs/>
                <w:color w:val="000000"/>
                <w:szCs w:val="24"/>
              </w:rPr>
              <w:t>00</w:t>
            </w:r>
            <w:r w:rsidRPr="004851BD">
              <w:rPr>
                <w:b/>
                <w:color w:val="000000"/>
                <w:szCs w:val="24"/>
              </w:rPr>
              <w:t>m</w:t>
            </w:r>
          </w:p>
        </w:tc>
      </w:tr>
      <w:tr w:rsidR="001866F9" w:rsidRPr="0046598F" w14:paraId="675DCF8A" w14:textId="77777777" w:rsidTr="00950320">
        <w:tc>
          <w:tcPr>
            <w:tcW w:w="1838" w:type="dxa"/>
            <w:shd w:val="clear" w:color="auto" w:fill="FFFF00"/>
            <w:noWrap/>
            <w:hideMark/>
          </w:tcPr>
          <w:p w14:paraId="53F171DB" w14:textId="77777777" w:rsidR="00711855" w:rsidRPr="004851BD" w:rsidRDefault="00711855" w:rsidP="00711855">
            <w:pPr>
              <w:spacing w:before="40" w:after="40"/>
              <w:rPr>
                <w:rFonts w:asciiTheme="minorBidi" w:hAnsiTheme="minorBidi" w:cstheme="minorBidi"/>
                <w:b/>
                <w:bCs/>
                <w:color w:val="000000"/>
                <w:szCs w:val="24"/>
              </w:rPr>
            </w:pPr>
            <w:r w:rsidRPr="004851BD">
              <w:rPr>
                <w:rFonts w:asciiTheme="minorBidi" w:hAnsiTheme="minorBidi" w:cstheme="minorBidi"/>
                <w:b/>
                <w:bCs/>
                <w:color w:val="000000"/>
                <w:szCs w:val="24"/>
              </w:rPr>
              <w:t>Net Benefit</w:t>
            </w:r>
          </w:p>
        </w:tc>
        <w:tc>
          <w:tcPr>
            <w:tcW w:w="1134" w:type="dxa"/>
            <w:shd w:val="clear" w:color="auto" w:fill="FFFF00"/>
            <w:noWrap/>
            <w:hideMark/>
          </w:tcPr>
          <w:p w14:paraId="70A9B2ED" w14:textId="686D3D9E" w:rsidR="00711855" w:rsidRPr="004851BD" w:rsidRDefault="00711855" w:rsidP="00711855">
            <w:pPr>
              <w:spacing w:before="40" w:after="40"/>
              <w:jc w:val="center"/>
              <w:rPr>
                <w:rFonts w:asciiTheme="minorBidi" w:hAnsiTheme="minorBidi" w:cstheme="minorBidi"/>
                <w:b/>
                <w:bCs/>
                <w:color w:val="000000"/>
                <w:szCs w:val="24"/>
              </w:rPr>
            </w:pPr>
            <w:r w:rsidRPr="004851BD">
              <w:rPr>
                <w:b/>
                <w:color w:val="000000"/>
                <w:szCs w:val="24"/>
              </w:rPr>
              <w:t>-</w:t>
            </w:r>
            <w:r w:rsidR="00E757DA" w:rsidRPr="004851BD">
              <w:rPr>
                <w:b/>
                <w:color w:val="000000"/>
                <w:szCs w:val="24"/>
              </w:rPr>
              <w:t>£</w:t>
            </w:r>
            <w:r w:rsidRPr="004851BD">
              <w:rPr>
                <w:b/>
                <w:bCs/>
                <w:color w:val="000000"/>
                <w:szCs w:val="24"/>
              </w:rPr>
              <w:t>0.8</w:t>
            </w:r>
            <w:r w:rsidR="005F1344">
              <w:rPr>
                <w:b/>
                <w:bCs/>
                <w:color w:val="000000"/>
                <w:szCs w:val="24"/>
              </w:rPr>
              <w:t>3</w:t>
            </w:r>
            <w:r w:rsidR="00E757DA" w:rsidRPr="004851BD">
              <w:rPr>
                <w:b/>
                <w:bCs/>
                <w:color w:val="000000"/>
                <w:szCs w:val="24"/>
              </w:rPr>
              <w:t>m</w:t>
            </w:r>
          </w:p>
        </w:tc>
        <w:tc>
          <w:tcPr>
            <w:tcW w:w="1559" w:type="dxa"/>
            <w:shd w:val="clear" w:color="auto" w:fill="FFFF00"/>
            <w:noWrap/>
            <w:hideMark/>
          </w:tcPr>
          <w:p w14:paraId="39421C2B" w14:textId="0AE23DF2" w:rsidR="00711855" w:rsidRPr="004851BD" w:rsidRDefault="00E757DA" w:rsidP="00711855">
            <w:pPr>
              <w:spacing w:before="40" w:after="40"/>
              <w:jc w:val="center"/>
              <w:rPr>
                <w:rFonts w:asciiTheme="minorBidi" w:hAnsiTheme="minorBidi" w:cstheme="minorBidi"/>
                <w:b/>
                <w:bCs/>
                <w:color w:val="000000"/>
                <w:szCs w:val="24"/>
              </w:rPr>
            </w:pPr>
            <w:r w:rsidRPr="004851BD">
              <w:rPr>
                <w:b/>
                <w:bCs/>
                <w:color w:val="000000"/>
                <w:szCs w:val="24"/>
              </w:rPr>
              <w:t>£</w:t>
            </w:r>
            <w:r w:rsidR="00711855" w:rsidRPr="004851BD">
              <w:rPr>
                <w:b/>
                <w:bCs/>
                <w:color w:val="000000"/>
                <w:szCs w:val="24"/>
              </w:rPr>
              <w:t>0.</w:t>
            </w:r>
            <w:r w:rsidR="005F1344">
              <w:rPr>
                <w:b/>
                <w:bCs/>
                <w:color w:val="000000"/>
                <w:szCs w:val="24"/>
              </w:rPr>
              <w:t>00</w:t>
            </w:r>
            <w:r w:rsidRPr="004851BD">
              <w:rPr>
                <w:b/>
                <w:bCs/>
                <w:color w:val="000000"/>
                <w:szCs w:val="24"/>
              </w:rPr>
              <w:t>m</w:t>
            </w:r>
          </w:p>
        </w:tc>
        <w:tc>
          <w:tcPr>
            <w:tcW w:w="1331" w:type="dxa"/>
            <w:shd w:val="clear" w:color="auto" w:fill="FFFF00"/>
            <w:noWrap/>
            <w:hideMark/>
          </w:tcPr>
          <w:p w14:paraId="383F7104" w14:textId="246F311A" w:rsidR="00711855" w:rsidRPr="004851BD" w:rsidRDefault="00711855" w:rsidP="00711855">
            <w:pPr>
              <w:spacing w:before="40" w:after="40"/>
              <w:jc w:val="center"/>
              <w:rPr>
                <w:rFonts w:asciiTheme="minorBidi" w:hAnsiTheme="minorBidi" w:cstheme="minorBidi"/>
                <w:b/>
                <w:bCs/>
                <w:color w:val="000000"/>
                <w:szCs w:val="24"/>
              </w:rPr>
            </w:pPr>
            <w:r w:rsidRPr="004851BD">
              <w:rPr>
                <w:b/>
                <w:bCs/>
                <w:color w:val="000000"/>
                <w:szCs w:val="24"/>
              </w:rPr>
              <w:t>-</w:t>
            </w:r>
            <w:r w:rsidR="00E757DA" w:rsidRPr="004851BD">
              <w:rPr>
                <w:b/>
                <w:bCs/>
                <w:color w:val="000000"/>
                <w:szCs w:val="24"/>
              </w:rPr>
              <w:t>£</w:t>
            </w:r>
            <w:r w:rsidR="005F2135" w:rsidRPr="004851BD">
              <w:rPr>
                <w:b/>
                <w:bCs/>
                <w:color w:val="000000"/>
                <w:szCs w:val="24"/>
              </w:rPr>
              <w:t>0.</w:t>
            </w:r>
            <w:r w:rsidR="005F1344">
              <w:rPr>
                <w:b/>
                <w:bCs/>
                <w:color w:val="000000"/>
                <w:szCs w:val="24"/>
              </w:rPr>
              <w:t>83</w:t>
            </w:r>
            <w:r w:rsidR="00E757DA" w:rsidRPr="004851BD">
              <w:rPr>
                <w:b/>
                <w:bCs/>
                <w:color w:val="000000"/>
                <w:szCs w:val="24"/>
              </w:rPr>
              <w:t>m</w:t>
            </w:r>
          </w:p>
        </w:tc>
        <w:tc>
          <w:tcPr>
            <w:tcW w:w="2090" w:type="dxa"/>
            <w:shd w:val="clear" w:color="auto" w:fill="FFFF00"/>
            <w:noWrap/>
            <w:hideMark/>
          </w:tcPr>
          <w:p w14:paraId="74DF86A8" w14:textId="58BB7129" w:rsidR="00711855" w:rsidRPr="004851BD" w:rsidRDefault="00711855" w:rsidP="00711855">
            <w:pPr>
              <w:spacing w:before="40" w:after="40"/>
              <w:jc w:val="center"/>
              <w:rPr>
                <w:rFonts w:asciiTheme="minorBidi" w:hAnsiTheme="minorBidi" w:cstheme="minorBidi"/>
                <w:b/>
                <w:bCs/>
                <w:color w:val="000000"/>
                <w:szCs w:val="24"/>
              </w:rPr>
            </w:pPr>
            <w:r w:rsidRPr="004851BD">
              <w:rPr>
                <w:b/>
                <w:bCs/>
                <w:color w:val="000000"/>
                <w:szCs w:val="24"/>
              </w:rPr>
              <w:t>-</w:t>
            </w:r>
            <w:r w:rsidR="00E757DA" w:rsidRPr="004851BD">
              <w:rPr>
                <w:b/>
                <w:bCs/>
                <w:color w:val="000000"/>
                <w:szCs w:val="24"/>
              </w:rPr>
              <w:t>£</w:t>
            </w:r>
            <w:r w:rsidRPr="004851BD">
              <w:rPr>
                <w:b/>
                <w:bCs/>
                <w:color w:val="000000"/>
                <w:szCs w:val="24"/>
              </w:rPr>
              <w:t>0.</w:t>
            </w:r>
            <w:r w:rsidR="005F1344">
              <w:rPr>
                <w:b/>
                <w:bCs/>
                <w:color w:val="000000"/>
                <w:szCs w:val="24"/>
              </w:rPr>
              <w:t>83</w:t>
            </w:r>
            <w:r w:rsidR="00E757DA" w:rsidRPr="004851BD">
              <w:rPr>
                <w:b/>
                <w:bCs/>
                <w:color w:val="000000"/>
                <w:szCs w:val="24"/>
              </w:rPr>
              <w:t>m</w:t>
            </w:r>
          </w:p>
        </w:tc>
        <w:tc>
          <w:tcPr>
            <w:tcW w:w="2118" w:type="dxa"/>
            <w:shd w:val="clear" w:color="auto" w:fill="FFFF00"/>
            <w:noWrap/>
            <w:hideMark/>
          </w:tcPr>
          <w:p w14:paraId="3E3DE3ED" w14:textId="29F10D02" w:rsidR="00711855" w:rsidRPr="004851BD" w:rsidRDefault="00711855" w:rsidP="00711855">
            <w:pPr>
              <w:spacing w:before="40" w:after="40"/>
              <w:jc w:val="center"/>
              <w:rPr>
                <w:rFonts w:asciiTheme="minorBidi" w:hAnsiTheme="minorBidi" w:cstheme="minorBidi"/>
                <w:b/>
                <w:bCs/>
                <w:color w:val="000000"/>
                <w:szCs w:val="24"/>
              </w:rPr>
            </w:pPr>
            <w:r w:rsidRPr="004851BD">
              <w:rPr>
                <w:b/>
                <w:bCs/>
                <w:color w:val="000000"/>
                <w:szCs w:val="24"/>
              </w:rPr>
              <w:t>-</w:t>
            </w:r>
            <w:r w:rsidR="00E757DA" w:rsidRPr="004851BD">
              <w:rPr>
                <w:b/>
                <w:bCs/>
                <w:color w:val="000000"/>
                <w:szCs w:val="24"/>
              </w:rPr>
              <w:t>£</w:t>
            </w:r>
            <w:r w:rsidRPr="004851BD">
              <w:rPr>
                <w:b/>
                <w:color w:val="000000"/>
                <w:szCs w:val="24"/>
              </w:rPr>
              <w:t>0.</w:t>
            </w:r>
            <w:r w:rsidRPr="004851BD">
              <w:rPr>
                <w:b/>
                <w:bCs/>
                <w:color w:val="000000"/>
                <w:szCs w:val="24"/>
              </w:rPr>
              <w:t>1</w:t>
            </w:r>
            <w:r w:rsidR="005F1344">
              <w:rPr>
                <w:b/>
                <w:bCs/>
                <w:color w:val="000000"/>
                <w:szCs w:val="24"/>
              </w:rPr>
              <w:t>0</w:t>
            </w:r>
            <w:r w:rsidR="00E757DA" w:rsidRPr="004851BD">
              <w:rPr>
                <w:b/>
                <w:bCs/>
                <w:color w:val="000000"/>
                <w:szCs w:val="24"/>
              </w:rPr>
              <w:t>m</w:t>
            </w:r>
          </w:p>
        </w:tc>
      </w:tr>
      <w:tr w:rsidR="001866F9" w:rsidRPr="0046598F" w14:paraId="03395C65" w14:textId="77777777" w:rsidTr="00950320">
        <w:tc>
          <w:tcPr>
            <w:tcW w:w="1838" w:type="dxa"/>
            <w:shd w:val="clear" w:color="auto" w:fill="FFFF00"/>
            <w:noWrap/>
            <w:hideMark/>
          </w:tcPr>
          <w:p w14:paraId="14EFD62C" w14:textId="77777777" w:rsidR="00711855" w:rsidRPr="004851BD" w:rsidRDefault="00711855" w:rsidP="00711855">
            <w:pPr>
              <w:spacing w:before="40" w:after="40"/>
              <w:rPr>
                <w:rFonts w:asciiTheme="minorBidi" w:hAnsiTheme="minorBidi" w:cstheme="minorBidi"/>
                <w:color w:val="000000"/>
                <w:szCs w:val="24"/>
              </w:rPr>
            </w:pPr>
            <w:r w:rsidRPr="004851BD">
              <w:rPr>
                <w:rFonts w:asciiTheme="minorBidi" w:hAnsiTheme="minorBidi" w:cstheme="minorBidi"/>
                <w:color w:val="000000"/>
                <w:szCs w:val="24"/>
              </w:rPr>
              <w:t>Low</w:t>
            </w:r>
          </w:p>
        </w:tc>
        <w:tc>
          <w:tcPr>
            <w:tcW w:w="1134" w:type="dxa"/>
            <w:shd w:val="clear" w:color="auto" w:fill="FFFF00"/>
            <w:noWrap/>
            <w:hideMark/>
          </w:tcPr>
          <w:p w14:paraId="4FF8252F" w14:textId="1F8CDAC6" w:rsidR="00711855" w:rsidRPr="009B4F13" w:rsidRDefault="00711855" w:rsidP="00711855">
            <w:pPr>
              <w:spacing w:before="40" w:after="40"/>
              <w:jc w:val="center"/>
              <w:rPr>
                <w:rFonts w:asciiTheme="minorBidi" w:hAnsiTheme="minorBidi" w:cstheme="minorBidi"/>
                <w:bCs/>
                <w:color w:val="000000"/>
                <w:szCs w:val="24"/>
              </w:rPr>
            </w:pPr>
            <w:r w:rsidRPr="009B4F13">
              <w:rPr>
                <w:bCs/>
                <w:color w:val="000000"/>
                <w:szCs w:val="24"/>
              </w:rPr>
              <w:t>-</w:t>
            </w:r>
            <w:r w:rsidR="00E757DA" w:rsidRPr="009B4F13">
              <w:rPr>
                <w:bCs/>
                <w:color w:val="000000"/>
                <w:szCs w:val="24"/>
              </w:rPr>
              <w:t>£</w:t>
            </w:r>
            <w:r w:rsidRPr="009B4F13">
              <w:rPr>
                <w:bCs/>
                <w:color w:val="000000"/>
                <w:szCs w:val="24"/>
              </w:rPr>
              <w:t>0.7</w:t>
            </w:r>
            <w:r w:rsidR="005F1344">
              <w:rPr>
                <w:bCs/>
                <w:color w:val="000000"/>
                <w:szCs w:val="24"/>
              </w:rPr>
              <w:t>6</w:t>
            </w:r>
            <w:r w:rsidR="00E757DA" w:rsidRPr="009B4F13">
              <w:rPr>
                <w:bCs/>
                <w:color w:val="000000"/>
                <w:szCs w:val="24"/>
              </w:rPr>
              <w:t>m</w:t>
            </w:r>
          </w:p>
        </w:tc>
        <w:tc>
          <w:tcPr>
            <w:tcW w:w="1559" w:type="dxa"/>
            <w:shd w:val="clear" w:color="auto" w:fill="FFFF00"/>
            <w:noWrap/>
            <w:hideMark/>
          </w:tcPr>
          <w:p w14:paraId="7DB755AF" w14:textId="2D12A9B8" w:rsidR="00711855" w:rsidRPr="009B4F13" w:rsidRDefault="00E757DA" w:rsidP="00711855">
            <w:pPr>
              <w:spacing w:before="40" w:after="40"/>
              <w:jc w:val="center"/>
              <w:rPr>
                <w:rFonts w:asciiTheme="minorBidi" w:hAnsiTheme="minorBidi" w:cstheme="minorBidi"/>
                <w:bCs/>
                <w:color w:val="000000"/>
                <w:szCs w:val="24"/>
              </w:rPr>
            </w:pPr>
            <w:r w:rsidRPr="009B4F13">
              <w:rPr>
                <w:bCs/>
                <w:color w:val="000000"/>
                <w:szCs w:val="24"/>
              </w:rPr>
              <w:t>£</w:t>
            </w:r>
            <w:r w:rsidR="00711855" w:rsidRPr="009B4F13">
              <w:rPr>
                <w:bCs/>
                <w:color w:val="000000"/>
                <w:szCs w:val="24"/>
              </w:rPr>
              <w:t>0.</w:t>
            </w:r>
            <w:r w:rsidR="005F1344">
              <w:rPr>
                <w:bCs/>
                <w:color w:val="000000"/>
                <w:szCs w:val="24"/>
              </w:rPr>
              <w:t>00</w:t>
            </w:r>
            <w:r w:rsidRPr="009B4F13">
              <w:rPr>
                <w:bCs/>
                <w:color w:val="000000"/>
                <w:szCs w:val="24"/>
              </w:rPr>
              <w:t>m</w:t>
            </w:r>
          </w:p>
        </w:tc>
        <w:tc>
          <w:tcPr>
            <w:tcW w:w="1331" w:type="dxa"/>
            <w:shd w:val="clear" w:color="auto" w:fill="FFFF00"/>
            <w:noWrap/>
            <w:hideMark/>
          </w:tcPr>
          <w:p w14:paraId="7D5F2410" w14:textId="4005D488" w:rsidR="00711855" w:rsidRPr="009B4F13" w:rsidRDefault="00711855" w:rsidP="00711855">
            <w:pPr>
              <w:spacing w:before="40" w:after="40"/>
              <w:jc w:val="center"/>
              <w:rPr>
                <w:rFonts w:asciiTheme="minorBidi" w:hAnsiTheme="minorBidi" w:cstheme="minorBidi"/>
                <w:bCs/>
                <w:color w:val="000000"/>
                <w:szCs w:val="24"/>
              </w:rPr>
            </w:pPr>
            <w:r w:rsidRPr="009B4F13">
              <w:rPr>
                <w:bCs/>
                <w:color w:val="000000"/>
                <w:szCs w:val="24"/>
              </w:rPr>
              <w:t>-</w:t>
            </w:r>
            <w:r w:rsidR="00E757DA" w:rsidRPr="009B4F13">
              <w:rPr>
                <w:bCs/>
                <w:color w:val="000000"/>
                <w:szCs w:val="24"/>
              </w:rPr>
              <w:t>£</w:t>
            </w:r>
            <w:r w:rsidRPr="009B4F13">
              <w:rPr>
                <w:bCs/>
                <w:color w:val="000000"/>
                <w:szCs w:val="24"/>
              </w:rPr>
              <w:t>0.</w:t>
            </w:r>
            <w:r w:rsidR="005F1344">
              <w:rPr>
                <w:bCs/>
                <w:color w:val="000000"/>
                <w:szCs w:val="24"/>
              </w:rPr>
              <w:t>76</w:t>
            </w:r>
            <w:r w:rsidR="00E757DA" w:rsidRPr="009B4F13">
              <w:rPr>
                <w:bCs/>
                <w:color w:val="000000"/>
                <w:szCs w:val="24"/>
              </w:rPr>
              <w:t>m</w:t>
            </w:r>
          </w:p>
        </w:tc>
        <w:tc>
          <w:tcPr>
            <w:tcW w:w="2090" w:type="dxa"/>
            <w:shd w:val="clear" w:color="auto" w:fill="FFFF00"/>
            <w:noWrap/>
            <w:hideMark/>
          </w:tcPr>
          <w:p w14:paraId="45F78601" w14:textId="21391A20" w:rsidR="00711855" w:rsidRPr="009B4F13" w:rsidRDefault="00711855" w:rsidP="00711855">
            <w:pPr>
              <w:spacing w:before="40" w:after="40"/>
              <w:jc w:val="center"/>
              <w:rPr>
                <w:rFonts w:asciiTheme="minorBidi" w:hAnsiTheme="minorBidi" w:cstheme="minorBidi"/>
                <w:bCs/>
                <w:color w:val="000000"/>
                <w:szCs w:val="24"/>
              </w:rPr>
            </w:pPr>
            <w:r w:rsidRPr="009B4F13">
              <w:rPr>
                <w:bCs/>
                <w:color w:val="000000"/>
                <w:szCs w:val="24"/>
              </w:rPr>
              <w:t>-</w:t>
            </w:r>
            <w:r w:rsidR="00E757DA" w:rsidRPr="009B4F13">
              <w:rPr>
                <w:bCs/>
                <w:color w:val="000000"/>
                <w:szCs w:val="24"/>
              </w:rPr>
              <w:t>£</w:t>
            </w:r>
            <w:r w:rsidRPr="009B4F13">
              <w:rPr>
                <w:bCs/>
                <w:color w:val="000000"/>
                <w:szCs w:val="24"/>
              </w:rPr>
              <w:t>0.</w:t>
            </w:r>
            <w:r w:rsidR="005F1344">
              <w:rPr>
                <w:bCs/>
                <w:color w:val="000000"/>
                <w:szCs w:val="24"/>
              </w:rPr>
              <w:t>76</w:t>
            </w:r>
            <w:r w:rsidR="00E757DA" w:rsidRPr="009B4F13">
              <w:rPr>
                <w:bCs/>
                <w:color w:val="000000"/>
                <w:szCs w:val="24"/>
              </w:rPr>
              <w:t>m</w:t>
            </w:r>
          </w:p>
        </w:tc>
        <w:tc>
          <w:tcPr>
            <w:tcW w:w="2118" w:type="dxa"/>
            <w:shd w:val="clear" w:color="auto" w:fill="FFFF00"/>
            <w:noWrap/>
            <w:hideMark/>
          </w:tcPr>
          <w:p w14:paraId="43DCA882" w14:textId="26ABF3BA" w:rsidR="00711855" w:rsidRPr="009B4F13" w:rsidRDefault="00711855" w:rsidP="00711855">
            <w:pPr>
              <w:spacing w:before="40" w:after="40"/>
              <w:jc w:val="center"/>
              <w:rPr>
                <w:rFonts w:asciiTheme="minorBidi" w:hAnsiTheme="minorBidi" w:cstheme="minorBidi"/>
                <w:bCs/>
                <w:color w:val="000000"/>
                <w:szCs w:val="24"/>
              </w:rPr>
            </w:pPr>
            <w:r w:rsidRPr="009B4F13">
              <w:rPr>
                <w:bCs/>
                <w:color w:val="000000"/>
                <w:szCs w:val="24"/>
              </w:rPr>
              <w:t>-</w:t>
            </w:r>
            <w:r w:rsidR="00E757DA" w:rsidRPr="009B4F13">
              <w:rPr>
                <w:bCs/>
                <w:color w:val="000000"/>
                <w:szCs w:val="24"/>
              </w:rPr>
              <w:t>£</w:t>
            </w:r>
            <w:r w:rsidRPr="009B4F13">
              <w:rPr>
                <w:bCs/>
                <w:color w:val="000000"/>
                <w:szCs w:val="24"/>
              </w:rPr>
              <w:t>0.</w:t>
            </w:r>
            <w:r w:rsidR="005F1344">
              <w:rPr>
                <w:bCs/>
                <w:color w:val="000000"/>
                <w:szCs w:val="24"/>
              </w:rPr>
              <w:t>09</w:t>
            </w:r>
            <w:r w:rsidR="00E757DA" w:rsidRPr="009B4F13">
              <w:rPr>
                <w:bCs/>
                <w:color w:val="000000"/>
                <w:szCs w:val="24"/>
              </w:rPr>
              <w:t>m</w:t>
            </w:r>
          </w:p>
        </w:tc>
      </w:tr>
      <w:tr w:rsidR="001866F9" w:rsidRPr="0046598F" w14:paraId="623240C6" w14:textId="77777777" w:rsidTr="00950320">
        <w:tc>
          <w:tcPr>
            <w:tcW w:w="1838" w:type="dxa"/>
            <w:shd w:val="clear" w:color="auto" w:fill="FFFF00"/>
            <w:noWrap/>
            <w:hideMark/>
          </w:tcPr>
          <w:p w14:paraId="4A9A4803" w14:textId="77777777" w:rsidR="00711855" w:rsidRPr="004851BD" w:rsidRDefault="00711855" w:rsidP="00711855">
            <w:pPr>
              <w:spacing w:before="40" w:after="40"/>
              <w:rPr>
                <w:rFonts w:asciiTheme="minorBidi" w:hAnsiTheme="minorBidi" w:cstheme="minorBidi"/>
                <w:color w:val="000000"/>
                <w:szCs w:val="24"/>
              </w:rPr>
            </w:pPr>
            <w:r w:rsidRPr="004851BD">
              <w:rPr>
                <w:rFonts w:asciiTheme="minorBidi" w:hAnsiTheme="minorBidi" w:cstheme="minorBidi"/>
                <w:color w:val="000000"/>
                <w:szCs w:val="24"/>
              </w:rPr>
              <w:lastRenderedPageBreak/>
              <w:t>High</w:t>
            </w:r>
          </w:p>
        </w:tc>
        <w:tc>
          <w:tcPr>
            <w:tcW w:w="1134" w:type="dxa"/>
            <w:shd w:val="clear" w:color="auto" w:fill="FFFF00"/>
            <w:noWrap/>
            <w:hideMark/>
          </w:tcPr>
          <w:p w14:paraId="1BC97336" w14:textId="2DB1DF98" w:rsidR="00711855" w:rsidRPr="009B4F13" w:rsidRDefault="00711855" w:rsidP="00711855">
            <w:pPr>
              <w:spacing w:before="40" w:after="40"/>
              <w:jc w:val="center"/>
              <w:rPr>
                <w:rFonts w:asciiTheme="minorBidi" w:hAnsiTheme="minorBidi" w:cstheme="minorBidi"/>
                <w:bCs/>
                <w:color w:val="000000"/>
                <w:szCs w:val="24"/>
              </w:rPr>
            </w:pPr>
            <w:r w:rsidRPr="009B4F13">
              <w:rPr>
                <w:bCs/>
                <w:color w:val="000000"/>
                <w:szCs w:val="24"/>
              </w:rPr>
              <w:t>-</w:t>
            </w:r>
            <w:r w:rsidR="00E757DA" w:rsidRPr="009B4F13">
              <w:rPr>
                <w:bCs/>
                <w:color w:val="000000"/>
                <w:szCs w:val="24"/>
              </w:rPr>
              <w:t>£</w:t>
            </w:r>
            <w:r w:rsidRPr="009B4F13">
              <w:rPr>
                <w:bCs/>
                <w:color w:val="000000"/>
                <w:szCs w:val="24"/>
              </w:rPr>
              <w:t>0.9</w:t>
            </w:r>
            <w:r w:rsidR="005F1344">
              <w:rPr>
                <w:bCs/>
                <w:color w:val="000000"/>
                <w:szCs w:val="24"/>
              </w:rPr>
              <w:t>0</w:t>
            </w:r>
            <w:r w:rsidR="00E757DA" w:rsidRPr="009B4F13">
              <w:rPr>
                <w:bCs/>
                <w:color w:val="000000"/>
                <w:szCs w:val="24"/>
              </w:rPr>
              <w:t>m</w:t>
            </w:r>
          </w:p>
        </w:tc>
        <w:tc>
          <w:tcPr>
            <w:tcW w:w="1559" w:type="dxa"/>
            <w:shd w:val="clear" w:color="auto" w:fill="FFFF00"/>
            <w:noWrap/>
            <w:hideMark/>
          </w:tcPr>
          <w:p w14:paraId="1A559A1D" w14:textId="4FC23834" w:rsidR="00711855" w:rsidRPr="009B4F13" w:rsidRDefault="00E757DA" w:rsidP="00711855">
            <w:pPr>
              <w:spacing w:before="40" w:after="40"/>
              <w:jc w:val="center"/>
              <w:rPr>
                <w:rFonts w:asciiTheme="minorBidi" w:hAnsiTheme="minorBidi" w:cstheme="minorBidi"/>
                <w:bCs/>
                <w:color w:val="000000"/>
                <w:szCs w:val="24"/>
              </w:rPr>
            </w:pPr>
            <w:r w:rsidRPr="009B4F13">
              <w:rPr>
                <w:bCs/>
                <w:color w:val="000000"/>
                <w:szCs w:val="24"/>
              </w:rPr>
              <w:t>£</w:t>
            </w:r>
            <w:r w:rsidR="00711855" w:rsidRPr="009B4F13">
              <w:rPr>
                <w:bCs/>
                <w:color w:val="000000"/>
                <w:szCs w:val="24"/>
              </w:rPr>
              <w:t>0.</w:t>
            </w:r>
            <w:r w:rsidR="005F1344">
              <w:rPr>
                <w:bCs/>
                <w:color w:val="000000"/>
                <w:szCs w:val="24"/>
              </w:rPr>
              <w:t>00</w:t>
            </w:r>
            <w:r w:rsidRPr="009B4F13">
              <w:rPr>
                <w:bCs/>
                <w:color w:val="000000"/>
                <w:szCs w:val="24"/>
              </w:rPr>
              <w:t>m</w:t>
            </w:r>
          </w:p>
        </w:tc>
        <w:tc>
          <w:tcPr>
            <w:tcW w:w="1331" w:type="dxa"/>
            <w:shd w:val="clear" w:color="auto" w:fill="FFFF00"/>
            <w:noWrap/>
            <w:hideMark/>
          </w:tcPr>
          <w:p w14:paraId="6106068D" w14:textId="68F30CD6" w:rsidR="00711855" w:rsidRPr="009B4F13" w:rsidRDefault="00711855" w:rsidP="00711855">
            <w:pPr>
              <w:spacing w:before="40" w:after="40"/>
              <w:jc w:val="center"/>
              <w:rPr>
                <w:rFonts w:asciiTheme="minorBidi" w:hAnsiTheme="minorBidi" w:cstheme="minorBidi"/>
                <w:bCs/>
                <w:color w:val="000000"/>
                <w:szCs w:val="24"/>
              </w:rPr>
            </w:pPr>
            <w:r w:rsidRPr="009B4F13">
              <w:rPr>
                <w:bCs/>
                <w:color w:val="000000"/>
                <w:szCs w:val="24"/>
              </w:rPr>
              <w:t>-</w:t>
            </w:r>
            <w:r w:rsidR="00E757DA" w:rsidRPr="009B4F13">
              <w:rPr>
                <w:bCs/>
                <w:color w:val="000000"/>
                <w:szCs w:val="24"/>
              </w:rPr>
              <w:t>£</w:t>
            </w:r>
            <w:r w:rsidR="005F1344">
              <w:rPr>
                <w:bCs/>
                <w:color w:val="000000"/>
                <w:szCs w:val="24"/>
              </w:rPr>
              <w:t>0.90</w:t>
            </w:r>
            <w:r w:rsidR="00E757DA" w:rsidRPr="009B4F13">
              <w:rPr>
                <w:bCs/>
                <w:color w:val="000000"/>
                <w:szCs w:val="24"/>
              </w:rPr>
              <w:t>m</w:t>
            </w:r>
          </w:p>
        </w:tc>
        <w:tc>
          <w:tcPr>
            <w:tcW w:w="2090" w:type="dxa"/>
            <w:shd w:val="clear" w:color="auto" w:fill="FFFF00"/>
            <w:noWrap/>
            <w:hideMark/>
          </w:tcPr>
          <w:p w14:paraId="3F363C05" w14:textId="4F4067CD" w:rsidR="00711855" w:rsidRPr="009B4F13" w:rsidRDefault="00711855" w:rsidP="00711855">
            <w:pPr>
              <w:spacing w:before="40" w:after="40"/>
              <w:jc w:val="center"/>
              <w:rPr>
                <w:rFonts w:asciiTheme="minorBidi" w:hAnsiTheme="minorBidi" w:cstheme="minorBidi"/>
                <w:bCs/>
                <w:color w:val="000000"/>
                <w:szCs w:val="24"/>
              </w:rPr>
            </w:pPr>
            <w:r w:rsidRPr="009B4F13">
              <w:rPr>
                <w:bCs/>
                <w:color w:val="000000"/>
                <w:szCs w:val="24"/>
              </w:rPr>
              <w:t>-</w:t>
            </w:r>
            <w:r w:rsidR="00E757DA" w:rsidRPr="009B4F13">
              <w:rPr>
                <w:bCs/>
                <w:color w:val="000000"/>
                <w:szCs w:val="24"/>
              </w:rPr>
              <w:t>£</w:t>
            </w:r>
            <w:r w:rsidR="005F1344">
              <w:rPr>
                <w:bCs/>
                <w:color w:val="000000"/>
                <w:szCs w:val="24"/>
              </w:rPr>
              <w:t>0.90</w:t>
            </w:r>
            <w:r w:rsidR="00E757DA" w:rsidRPr="009B4F13">
              <w:rPr>
                <w:bCs/>
                <w:color w:val="000000"/>
                <w:szCs w:val="24"/>
              </w:rPr>
              <w:t>m</w:t>
            </w:r>
          </w:p>
        </w:tc>
        <w:tc>
          <w:tcPr>
            <w:tcW w:w="2118" w:type="dxa"/>
            <w:shd w:val="clear" w:color="auto" w:fill="FFFF00"/>
            <w:noWrap/>
            <w:hideMark/>
          </w:tcPr>
          <w:p w14:paraId="1EA95BC4" w14:textId="74DAF930" w:rsidR="00711855" w:rsidRPr="009B4F13" w:rsidRDefault="00711855" w:rsidP="00711855">
            <w:pPr>
              <w:spacing w:before="40" w:after="40"/>
              <w:jc w:val="center"/>
              <w:rPr>
                <w:rFonts w:asciiTheme="minorBidi" w:hAnsiTheme="minorBidi" w:cstheme="minorBidi"/>
                <w:bCs/>
                <w:color w:val="000000"/>
                <w:szCs w:val="24"/>
              </w:rPr>
            </w:pPr>
            <w:r w:rsidRPr="009B4F13">
              <w:rPr>
                <w:bCs/>
                <w:color w:val="000000"/>
                <w:szCs w:val="24"/>
              </w:rPr>
              <w:t>-</w:t>
            </w:r>
            <w:r w:rsidR="00E757DA" w:rsidRPr="009B4F13">
              <w:rPr>
                <w:bCs/>
                <w:color w:val="000000"/>
                <w:szCs w:val="24"/>
              </w:rPr>
              <w:t>£</w:t>
            </w:r>
            <w:r w:rsidRPr="009B4F13">
              <w:rPr>
                <w:bCs/>
                <w:color w:val="000000"/>
                <w:szCs w:val="24"/>
              </w:rPr>
              <w:t>0.</w:t>
            </w:r>
            <w:r w:rsidR="005F1344">
              <w:rPr>
                <w:bCs/>
                <w:color w:val="000000"/>
                <w:szCs w:val="24"/>
              </w:rPr>
              <w:t>10</w:t>
            </w:r>
            <w:r w:rsidR="00E757DA" w:rsidRPr="009B4F13">
              <w:rPr>
                <w:bCs/>
                <w:color w:val="000000"/>
                <w:szCs w:val="24"/>
              </w:rPr>
              <w:t>m</w:t>
            </w:r>
          </w:p>
        </w:tc>
      </w:tr>
    </w:tbl>
    <w:p w14:paraId="2E97D826" w14:textId="77777777" w:rsidR="00524436" w:rsidRDefault="00524436" w:rsidP="00524436">
      <w:pPr>
        <w:tabs>
          <w:tab w:val="left" w:pos="7920"/>
        </w:tabs>
        <w:rPr>
          <w:rFonts w:eastAsia="Calibri"/>
          <w:b/>
          <w:bCs/>
          <w:color w:val="006F51"/>
        </w:rPr>
      </w:pPr>
    </w:p>
    <w:p w14:paraId="124BF1E4" w14:textId="77777777" w:rsidR="00524436" w:rsidRDefault="00524436" w:rsidP="00524436">
      <w:pPr>
        <w:tabs>
          <w:tab w:val="left" w:pos="7920"/>
        </w:tabs>
        <w:rPr>
          <w:rFonts w:eastAsia="Calibri"/>
          <w:b/>
          <w:bCs/>
          <w:color w:val="006F51"/>
        </w:rPr>
      </w:pPr>
    </w:p>
    <w:p w14:paraId="068B6144" w14:textId="7A427D45" w:rsidR="00524436" w:rsidRDefault="00524436" w:rsidP="00A80445">
      <w:pPr>
        <w:pStyle w:val="Heading2"/>
        <w:rPr>
          <w:rFonts w:eastAsia="Calibri"/>
        </w:rPr>
      </w:pPr>
      <w:r w:rsidRPr="00BF6C35">
        <w:rPr>
          <w:rFonts w:eastAsia="Calibri"/>
        </w:rPr>
        <w:t>R</w:t>
      </w:r>
      <w:r w:rsidR="00A80445">
        <w:rPr>
          <w:rFonts w:eastAsia="Calibri"/>
        </w:rPr>
        <w:t>ationale and evidence that justify the level of analysis used in the RIA</w:t>
      </w:r>
    </w:p>
    <w:p w14:paraId="2C1F3257" w14:textId="77777777" w:rsidR="00524436" w:rsidRPr="00EA414A" w:rsidRDefault="00524436" w:rsidP="00524436">
      <w:pPr>
        <w:tabs>
          <w:tab w:val="left" w:pos="7920"/>
        </w:tabs>
        <w:rPr>
          <w:rFonts w:eastAsia="Calibri"/>
          <w:b/>
          <w:bCs/>
          <w:color w:val="006F51"/>
          <w:szCs w:val="24"/>
        </w:rPr>
      </w:pPr>
    </w:p>
    <w:p w14:paraId="43DAF5C4" w14:textId="00671D82" w:rsidR="00524436" w:rsidRPr="00EA414A" w:rsidRDefault="00524436" w:rsidP="00E10B42">
      <w:pPr>
        <w:pStyle w:val="ListParagraph"/>
        <w:numPr>
          <w:ilvl w:val="0"/>
          <w:numId w:val="7"/>
        </w:numPr>
        <w:tabs>
          <w:tab w:val="left" w:pos="7920"/>
        </w:tabs>
      </w:pPr>
      <w:r>
        <w:t>The introduction of mandatory online display would be achieved through secondary legislation supplementing the existing statutory scheme that has been in place in Northern Ireland since</w:t>
      </w:r>
      <w:r w:rsidR="00664C01">
        <w:t xml:space="preserve"> 2016</w:t>
      </w:r>
      <w:r>
        <w:t xml:space="preserve">. As such, the marginal impacts that are discussed in this impact assessment become more difficult to quantify, as many conventional data sources that served previous FHRS impact assessments have not enabled the separation of physical and online presence. This has been observed most commonly in monetising benefits such as </w:t>
      </w:r>
      <w:r w:rsidR="00D002F5">
        <w:t>the</w:t>
      </w:r>
      <w:r>
        <w:t xml:space="preserve"> prevalence of foodborne disease, where switch effects analysis was </w:t>
      </w:r>
      <w:r w:rsidR="00835781">
        <w:t>not undertaken due</w:t>
      </w:r>
      <w:r>
        <w:t xml:space="preserve"> to </w:t>
      </w:r>
      <w:r w:rsidR="00835781">
        <w:t xml:space="preserve">time constraints and the small </w:t>
      </w:r>
      <w:r w:rsidR="00A57C47">
        <w:t>monetised benefit that was anticipated</w:t>
      </w:r>
      <w:r w:rsidR="00F05A32">
        <w:t xml:space="preserve"> due</w:t>
      </w:r>
      <w:r>
        <w:t xml:space="preserve"> to </w:t>
      </w:r>
      <w:r w:rsidR="00F05A32">
        <w:t>existing high business compliance levels.</w:t>
      </w:r>
      <w:r w:rsidRPr="1C382D43">
        <w:rPr>
          <w:color w:val="FF0000"/>
        </w:rPr>
        <w:t xml:space="preserve"> </w:t>
      </w:r>
      <w:r>
        <w:t xml:space="preserve">Consequently, several costs and benefits are non-monetised but their importance and impacts are discussed extensively in the evidence base. Where possible, suitable and justified assumptions have been used to obtain values for key variables such as the number of businesses with online presence. This has enabled the monetisation of the costs outlined earlier.     </w:t>
      </w:r>
    </w:p>
    <w:p w14:paraId="421348F4" w14:textId="77777777" w:rsidR="00524436" w:rsidRDefault="00524436" w:rsidP="00524436">
      <w:pPr>
        <w:tabs>
          <w:tab w:val="left" w:pos="7920"/>
        </w:tabs>
        <w:rPr>
          <w:rFonts w:eastAsia="Calibri"/>
          <w:b/>
          <w:bCs/>
          <w:color w:val="006F51"/>
        </w:rPr>
      </w:pPr>
    </w:p>
    <w:p w14:paraId="78E28FEE" w14:textId="6268B636" w:rsidR="00524436" w:rsidRDefault="00524436" w:rsidP="00A80445">
      <w:pPr>
        <w:pStyle w:val="Heading2"/>
        <w:rPr>
          <w:rFonts w:eastAsia="Calibri"/>
        </w:rPr>
      </w:pPr>
      <w:r>
        <w:rPr>
          <w:rFonts w:eastAsia="Calibri"/>
        </w:rPr>
        <w:t>R</w:t>
      </w:r>
      <w:r w:rsidR="00A80445">
        <w:rPr>
          <w:rFonts w:eastAsia="Calibri"/>
        </w:rPr>
        <w:t>isks and assumptions</w:t>
      </w:r>
    </w:p>
    <w:p w14:paraId="26B88EC1" w14:textId="77777777" w:rsidR="00524436" w:rsidRDefault="00524436" w:rsidP="00524436">
      <w:pPr>
        <w:tabs>
          <w:tab w:val="left" w:pos="7920"/>
        </w:tabs>
        <w:rPr>
          <w:rFonts w:eastAsia="Calibri"/>
          <w:b/>
          <w:bCs/>
          <w:color w:val="006F51"/>
        </w:rPr>
      </w:pPr>
    </w:p>
    <w:p w14:paraId="11494E2B" w14:textId="081255C8" w:rsidR="00524436" w:rsidRPr="00EA414A" w:rsidRDefault="00635320" w:rsidP="00E10B42">
      <w:pPr>
        <w:pStyle w:val="ListParagraph"/>
        <w:numPr>
          <w:ilvl w:val="0"/>
          <w:numId w:val="7"/>
        </w:numPr>
        <w:tabs>
          <w:tab w:val="left" w:pos="7920"/>
        </w:tabs>
      </w:pPr>
      <w:r>
        <w:t>The assumptions involved in monetising costs and benefits</w:t>
      </w:r>
      <w:r w:rsidR="001327B2">
        <w:t xml:space="preserve"> have been discussed at length in the </w:t>
      </w:r>
      <w:r w:rsidR="00BE0DD8">
        <w:t xml:space="preserve">respective sections for each cost and benefit, along with any </w:t>
      </w:r>
      <w:r w:rsidR="003265ED">
        <w:t>potential caveats these analytical approaches and decisions may introduce.</w:t>
      </w:r>
      <w:r w:rsidR="00BE0DD8">
        <w:t xml:space="preserve"> </w:t>
      </w:r>
    </w:p>
    <w:p w14:paraId="4BD2B1EF" w14:textId="77777777" w:rsidR="00EF7353" w:rsidRDefault="00EF7353" w:rsidP="00524436">
      <w:pPr>
        <w:tabs>
          <w:tab w:val="left" w:pos="7920"/>
        </w:tabs>
        <w:rPr>
          <w:rFonts w:eastAsia="Calibri"/>
          <w:b/>
          <w:bCs/>
          <w:color w:val="006F51"/>
        </w:rPr>
      </w:pPr>
    </w:p>
    <w:p w14:paraId="4448891C" w14:textId="4D184E2C" w:rsidR="00524436" w:rsidRDefault="00524436" w:rsidP="00A80445">
      <w:pPr>
        <w:pStyle w:val="Heading2"/>
        <w:rPr>
          <w:rFonts w:eastAsia="Calibri"/>
        </w:rPr>
      </w:pPr>
      <w:r>
        <w:rPr>
          <w:rFonts w:eastAsia="Calibri"/>
        </w:rPr>
        <w:t>W</w:t>
      </w:r>
      <w:r w:rsidR="00A80445">
        <w:rPr>
          <w:rFonts w:eastAsia="Calibri"/>
        </w:rPr>
        <w:t>ider impacts</w:t>
      </w:r>
    </w:p>
    <w:p w14:paraId="2DC0C792" w14:textId="77777777" w:rsidR="00524436" w:rsidRDefault="00524436" w:rsidP="00524436">
      <w:pPr>
        <w:tabs>
          <w:tab w:val="left" w:pos="7920"/>
        </w:tabs>
        <w:rPr>
          <w:rFonts w:eastAsia="Calibri"/>
          <w:b/>
          <w:bCs/>
          <w:color w:val="006F51"/>
        </w:rPr>
      </w:pPr>
    </w:p>
    <w:p w14:paraId="57B5020E" w14:textId="77777777" w:rsidR="00524436" w:rsidRPr="003D7BA6" w:rsidRDefault="00524436" w:rsidP="00A80445">
      <w:pPr>
        <w:pStyle w:val="Heading3"/>
        <w:rPr>
          <w:rFonts w:eastAsia="Arial"/>
        </w:rPr>
      </w:pPr>
      <w:r w:rsidRPr="008478B9">
        <w:t>Small and Micro Business Assessment</w:t>
      </w:r>
    </w:p>
    <w:p w14:paraId="561CC101" w14:textId="1615DF06" w:rsidR="00524436" w:rsidRDefault="00BF5C5E" w:rsidP="00E10B42">
      <w:pPr>
        <w:pStyle w:val="ListParagraph"/>
        <w:numPr>
          <w:ilvl w:val="0"/>
          <w:numId w:val="7"/>
        </w:numPr>
        <w:tabs>
          <w:tab w:val="left" w:pos="7920"/>
        </w:tabs>
        <w:rPr>
          <w:rFonts w:eastAsia="Calibri"/>
          <w:b/>
          <w:bCs/>
          <w:color w:val="006F51"/>
        </w:rPr>
      </w:pPr>
      <w:r w:rsidRPr="1C382D43">
        <w:rPr>
          <w:rFonts w:eastAsia="Calibri"/>
        </w:rPr>
        <w:t xml:space="preserve">No specific analysis has been undertaken to formally assess the impact the secondary legislation would have on </w:t>
      </w:r>
      <w:r w:rsidR="003C1459" w:rsidRPr="1C382D43">
        <w:rPr>
          <w:rFonts w:eastAsia="Calibri"/>
        </w:rPr>
        <w:t>SME’s</w:t>
      </w:r>
      <w:r w:rsidR="008F261F" w:rsidRPr="1C382D43">
        <w:rPr>
          <w:rFonts w:eastAsia="Calibri"/>
        </w:rPr>
        <w:t xml:space="preserve"> or micro businesses</w:t>
      </w:r>
      <w:r w:rsidR="00CA2A32" w:rsidRPr="1C382D43">
        <w:rPr>
          <w:rFonts w:eastAsia="Calibri"/>
        </w:rPr>
        <w:t xml:space="preserve">. </w:t>
      </w:r>
      <w:r w:rsidR="00002762" w:rsidRPr="1C382D43">
        <w:rPr>
          <w:rFonts w:eastAsia="Calibri"/>
        </w:rPr>
        <w:t>However</w:t>
      </w:r>
      <w:r w:rsidR="00535B43" w:rsidRPr="1C382D43">
        <w:rPr>
          <w:rFonts w:eastAsia="Calibri"/>
        </w:rPr>
        <w:t xml:space="preserve">, the size of a business has been accounted for </w:t>
      </w:r>
      <w:r w:rsidR="00490339" w:rsidRPr="1C382D43">
        <w:rPr>
          <w:rFonts w:eastAsia="Calibri"/>
        </w:rPr>
        <w:t>in the monetisation of some costs, such as the methodology for calculating the cost of updating online facilities</w:t>
      </w:r>
      <w:r w:rsidR="00EE5AC2" w:rsidRPr="1C382D43">
        <w:rPr>
          <w:rFonts w:eastAsia="Calibri"/>
        </w:rPr>
        <w:t xml:space="preserve"> (see Paragraphs </w:t>
      </w:r>
      <w:r w:rsidR="00E77F40" w:rsidRPr="1C382D43">
        <w:rPr>
          <w:rFonts w:eastAsia="Calibri"/>
        </w:rPr>
        <w:t>44-47)</w:t>
      </w:r>
      <w:r w:rsidR="00490339" w:rsidRPr="1C382D43">
        <w:rPr>
          <w:rFonts w:eastAsia="Calibri"/>
        </w:rPr>
        <w:t xml:space="preserve">. </w:t>
      </w:r>
      <w:r w:rsidR="006341E3" w:rsidRPr="1C382D43">
        <w:rPr>
          <w:rFonts w:eastAsia="Calibri"/>
        </w:rPr>
        <w:t xml:space="preserve">In this </w:t>
      </w:r>
      <w:r w:rsidR="00B625E8" w:rsidRPr="1C382D43">
        <w:rPr>
          <w:rFonts w:eastAsia="Calibri"/>
        </w:rPr>
        <w:t>scenario</w:t>
      </w:r>
      <w:r w:rsidR="005A4304" w:rsidRPr="1C382D43">
        <w:rPr>
          <w:rFonts w:eastAsia="Calibri"/>
        </w:rPr>
        <w:t xml:space="preserve">, smaller businesses that were more likely to use social media platforms </w:t>
      </w:r>
      <w:r w:rsidR="008C2E2F" w:rsidRPr="1C382D43">
        <w:rPr>
          <w:rFonts w:eastAsia="Calibri"/>
        </w:rPr>
        <w:t>to process orders faced</w:t>
      </w:r>
      <w:r w:rsidR="001042E3" w:rsidRPr="1C382D43">
        <w:rPr>
          <w:rFonts w:eastAsia="Calibri"/>
        </w:rPr>
        <w:t xml:space="preserve"> zero cost</w:t>
      </w:r>
      <w:r w:rsidR="002A6785" w:rsidRPr="1C382D43">
        <w:rPr>
          <w:rFonts w:eastAsia="Calibri"/>
        </w:rPr>
        <w:t>,</w:t>
      </w:r>
      <w:r w:rsidR="0068112C" w:rsidRPr="1C382D43">
        <w:rPr>
          <w:rFonts w:eastAsia="Calibri"/>
        </w:rPr>
        <w:t xml:space="preserve"> representing a reduced cost relative to </w:t>
      </w:r>
      <w:r w:rsidR="00DC7EFE" w:rsidRPr="1C382D43">
        <w:rPr>
          <w:rFonts w:eastAsia="Calibri"/>
        </w:rPr>
        <w:t>larger businesses and aggregators</w:t>
      </w:r>
      <w:r w:rsidR="00411B1B" w:rsidRPr="1C382D43">
        <w:rPr>
          <w:rFonts w:eastAsia="Calibri"/>
        </w:rPr>
        <w:t xml:space="preserve">. This </w:t>
      </w:r>
      <w:r w:rsidR="00E12176" w:rsidRPr="1C382D43">
        <w:rPr>
          <w:rFonts w:eastAsia="Calibri"/>
        </w:rPr>
        <w:t>provid</w:t>
      </w:r>
      <w:r w:rsidR="00411B1B" w:rsidRPr="1C382D43">
        <w:rPr>
          <w:rFonts w:eastAsia="Calibri"/>
        </w:rPr>
        <w:t>es some</w:t>
      </w:r>
      <w:r w:rsidR="00E12176" w:rsidRPr="1C382D43">
        <w:rPr>
          <w:rFonts w:eastAsia="Calibri"/>
        </w:rPr>
        <w:t xml:space="preserve"> reassurance that</w:t>
      </w:r>
      <w:r w:rsidR="00DC7EFE" w:rsidRPr="1C382D43">
        <w:rPr>
          <w:rFonts w:eastAsia="Calibri"/>
        </w:rPr>
        <w:t xml:space="preserve"> </w:t>
      </w:r>
      <w:r w:rsidR="00F244D4" w:rsidRPr="1C382D43">
        <w:rPr>
          <w:rFonts w:eastAsia="Calibri"/>
        </w:rPr>
        <w:t xml:space="preserve">smaller businesses would not be disproportionately </w:t>
      </w:r>
      <w:r w:rsidR="006A6A58">
        <w:t xml:space="preserve">adversely </w:t>
      </w:r>
      <w:r w:rsidR="00F244D4">
        <w:t>affected</w:t>
      </w:r>
      <w:r w:rsidR="006A6A58">
        <w:t xml:space="preserve"> by the secondary legislation.</w:t>
      </w:r>
      <w:r w:rsidR="00F244D4" w:rsidRPr="1C382D43">
        <w:rPr>
          <w:rFonts w:eastAsia="Calibri"/>
          <w:b/>
          <w:bCs/>
          <w:color w:val="006F51"/>
        </w:rPr>
        <w:t xml:space="preserve"> </w:t>
      </w:r>
      <w:r w:rsidR="00E12176" w:rsidRPr="1C382D43">
        <w:rPr>
          <w:rFonts w:eastAsia="Calibri"/>
          <w:b/>
          <w:bCs/>
          <w:color w:val="006F51"/>
        </w:rPr>
        <w:t xml:space="preserve"> </w:t>
      </w:r>
      <w:r w:rsidR="00490339" w:rsidRPr="1C382D43">
        <w:rPr>
          <w:rFonts w:eastAsia="Calibri"/>
          <w:b/>
          <w:bCs/>
          <w:color w:val="006F51"/>
        </w:rPr>
        <w:t xml:space="preserve"> </w:t>
      </w:r>
      <w:r>
        <w:br/>
      </w:r>
    </w:p>
    <w:p w14:paraId="28252F1D" w14:textId="77777777" w:rsidR="00524436" w:rsidRDefault="00524436" w:rsidP="00A80445">
      <w:pPr>
        <w:pStyle w:val="Heading3"/>
        <w:rPr>
          <w:rFonts w:eastAsia="Calibri"/>
        </w:rPr>
      </w:pPr>
      <w:r w:rsidRPr="00B6206A">
        <w:rPr>
          <w:rFonts w:eastAsia="Calibri"/>
        </w:rPr>
        <w:t>Competition A</w:t>
      </w:r>
      <w:r>
        <w:rPr>
          <w:rFonts w:eastAsia="Calibri"/>
        </w:rPr>
        <w:t>s</w:t>
      </w:r>
      <w:r w:rsidRPr="00B6206A">
        <w:rPr>
          <w:rFonts w:eastAsia="Calibri"/>
        </w:rPr>
        <w:t>sessment</w:t>
      </w:r>
    </w:p>
    <w:p w14:paraId="358D26A8" w14:textId="23CB076C" w:rsidR="00524436" w:rsidRDefault="00F3660D" w:rsidP="00E10B42">
      <w:pPr>
        <w:pStyle w:val="ListParagraph"/>
        <w:numPr>
          <w:ilvl w:val="0"/>
          <w:numId w:val="7"/>
        </w:numPr>
        <w:rPr>
          <w:rFonts w:eastAsia="Calibri"/>
        </w:rPr>
      </w:pPr>
      <w:r w:rsidRPr="1C382D43">
        <w:rPr>
          <w:rFonts w:eastAsia="Calibri"/>
        </w:rPr>
        <w:t xml:space="preserve">No </w:t>
      </w:r>
      <w:r w:rsidR="00740EC2" w:rsidRPr="1C382D43">
        <w:rPr>
          <w:rFonts w:eastAsia="Calibri"/>
        </w:rPr>
        <w:t xml:space="preserve">specific analysis </w:t>
      </w:r>
      <w:r w:rsidR="009B3C0A" w:rsidRPr="1C382D43">
        <w:rPr>
          <w:rFonts w:eastAsia="Calibri"/>
        </w:rPr>
        <w:t xml:space="preserve">has been undertaken </w:t>
      </w:r>
      <w:r w:rsidR="00BD1512" w:rsidRPr="1C382D43">
        <w:rPr>
          <w:rFonts w:eastAsia="Calibri"/>
        </w:rPr>
        <w:t xml:space="preserve">to </w:t>
      </w:r>
      <w:r w:rsidR="00F1491D" w:rsidRPr="1C382D43">
        <w:rPr>
          <w:rFonts w:eastAsia="Calibri"/>
        </w:rPr>
        <w:t xml:space="preserve">formally assess the impact the </w:t>
      </w:r>
      <w:r w:rsidR="00D665BC" w:rsidRPr="1C382D43">
        <w:rPr>
          <w:rFonts w:eastAsia="Calibri"/>
        </w:rPr>
        <w:t>secondary legislation would have on competition in the food ordering market</w:t>
      </w:r>
      <w:r w:rsidR="005B72CD" w:rsidRPr="1C382D43">
        <w:rPr>
          <w:rFonts w:eastAsia="Calibri"/>
        </w:rPr>
        <w:t xml:space="preserve">. </w:t>
      </w:r>
      <w:r w:rsidR="00D558D7" w:rsidRPr="1C382D43">
        <w:rPr>
          <w:rFonts w:eastAsia="Calibri"/>
        </w:rPr>
        <w:t xml:space="preserve">However, </w:t>
      </w:r>
      <w:r w:rsidR="001B7420" w:rsidRPr="1C382D43">
        <w:rPr>
          <w:rFonts w:eastAsia="Calibri"/>
        </w:rPr>
        <w:t>findings in areas suc</w:t>
      </w:r>
      <w:r w:rsidR="003A62E3" w:rsidRPr="1C382D43">
        <w:rPr>
          <w:rFonts w:eastAsia="Calibri"/>
        </w:rPr>
        <w:t>h as</w:t>
      </w:r>
      <w:r w:rsidR="00E2065F" w:rsidRPr="1C382D43">
        <w:rPr>
          <w:rFonts w:eastAsia="Calibri"/>
        </w:rPr>
        <w:t xml:space="preserve"> in</w:t>
      </w:r>
      <w:r w:rsidR="003A62E3" w:rsidRPr="1C382D43">
        <w:rPr>
          <w:rFonts w:eastAsia="Calibri"/>
        </w:rPr>
        <w:t xml:space="preserve"> the online facility costs </w:t>
      </w:r>
      <w:r w:rsidR="0035410F" w:rsidRPr="1C382D43">
        <w:rPr>
          <w:rFonts w:eastAsia="Calibri"/>
        </w:rPr>
        <w:t>outlined</w:t>
      </w:r>
      <w:r w:rsidR="00E47330" w:rsidRPr="1C382D43">
        <w:rPr>
          <w:rFonts w:eastAsia="Calibri"/>
        </w:rPr>
        <w:t xml:space="preserve"> in the above Small and Micro Business Assessment</w:t>
      </w:r>
      <w:r w:rsidR="00915A2F" w:rsidRPr="1C382D43">
        <w:rPr>
          <w:rFonts w:eastAsia="Calibri"/>
        </w:rPr>
        <w:t xml:space="preserve"> section </w:t>
      </w:r>
      <w:r w:rsidR="000C4C1B" w:rsidRPr="1C382D43">
        <w:rPr>
          <w:rFonts w:eastAsia="Calibri"/>
        </w:rPr>
        <w:t xml:space="preserve">should ease concerns that </w:t>
      </w:r>
      <w:r w:rsidR="00D8040A" w:rsidRPr="1C382D43">
        <w:rPr>
          <w:rFonts w:eastAsia="Calibri"/>
        </w:rPr>
        <w:t xml:space="preserve">industry compliance </w:t>
      </w:r>
      <w:r w:rsidR="00BB35D0" w:rsidRPr="1C382D43">
        <w:rPr>
          <w:rFonts w:eastAsia="Calibri"/>
        </w:rPr>
        <w:t xml:space="preserve">with the secondary legislation </w:t>
      </w:r>
      <w:r w:rsidR="00A2756A" w:rsidRPr="1C382D43">
        <w:rPr>
          <w:rFonts w:eastAsia="Calibri"/>
        </w:rPr>
        <w:t>could</w:t>
      </w:r>
      <w:r w:rsidR="00BF6C2E" w:rsidRPr="1C382D43">
        <w:rPr>
          <w:rFonts w:eastAsia="Calibri"/>
        </w:rPr>
        <w:t xml:space="preserve"> create</w:t>
      </w:r>
      <w:r w:rsidR="006661BB" w:rsidRPr="1C382D43">
        <w:rPr>
          <w:rFonts w:eastAsia="Calibri"/>
        </w:rPr>
        <w:t xml:space="preserve"> financial or practical</w:t>
      </w:r>
      <w:r w:rsidR="00BF6C2E" w:rsidRPr="1C382D43">
        <w:rPr>
          <w:rFonts w:eastAsia="Calibri"/>
        </w:rPr>
        <w:t xml:space="preserve"> obstacles that are prohibitive to fair competition in the food ordering industry.</w:t>
      </w:r>
      <w:r>
        <w:br/>
      </w:r>
    </w:p>
    <w:p w14:paraId="3160DED9" w14:textId="77A8C2A9" w:rsidR="009373AE" w:rsidRPr="006B20DE" w:rsidRDefault="00524436" w:rsidP="00A80445">
      <w:pPr>
        <w:pStyle w:val="Heading3"/>
      </w:pPr>
      <w:r>
        <w:lastRenderedPageBreak/>
        <w:t xml:space="preserve">Potential trade implications </w:t>
      </w:r>
    </w:p>
    <w:p w14:paraId="6C520977" w14:textId="4348E2D5" w:rsidR="009373AE" w:rsidRPr="00732B18" w:rsidRDefault="009373AE" w:rsidP="00E10B42">
      <w:pPr>
        <w:pStyle w:val="ListParagraph"/>
        <w:numPr>
          <w:ilvl w:val="0"/>
          <w:numId w:val="7"/>
        </w:numPr>
        <w:spacing w:before="240" w:after="60"/>
        <w:rPr>
          <w:color w:val="000000" w:themeColor="text1"/>
        </w:rPr>
      </w:pPr>
      <w:r w:rsidRPr="1C382D43">
        <w:rPr>
          <w:color w:val="000000" w:themeColor="text1"/>
        </w:rPr>
        <w:t xml:space="preserve">The proposed regulations will only apply to businesses who are registered with one of the 11 </w:t>
      </w:r>
      <w:r w:rsidR="00501C10" w:rsidRPr="1C382D43">
        <w:rPr>
          <w:color w:val="000000" w:themeColor="text1"/>
        </w:rPr>
        <w:t>d</w:t>
      </w:r>
      <w:r w:rsidRPr="1C382D43">
        <w:rPr>
          <w:color w:val="000000" w:themeColor="text1"/>
        </w:rPr>
        <w:t xml:space="preserve">istrict </w:t>
      </w:r>
      <w:r w:rsidR="00501C10" w:rsidRPr="1C382D43">
        <w:rPr>
          <w:color w:val="000000" w:themeColor="text1"/>
        </w:rPr>
        <w:t>c</w:t>
      </w:r>
      <w:r w:rsidRPr="1C382D43">
        <w:rPr>
          <w:color w:val="000000" w:themeColor="text1"/>
        </w:rPr>
        <w:t xml:space="preserve">ouncils in NI and fall within the scope of the statutory Food Hygiene Rating Scheme in NI. Therefore, businesses based outside of Northern Ireland who have an online facility through which they supply food (other than pre-packed low risk food) into Northern Ireland will not be required to display their Food Hygiene Rating online. </w:t>
      </w:r>
      <w:r>
        <w:br/>
      </w:r>
    </w:p>
    <w:p w14:paraId="599BAD12" w14:textId="03B226DE" w:rsidR="009373AE" w:rsidRDefault="009373AE" w:rsidP="00E10B42">
      <w:pPr>
        <w:pStyle w:val="ListParagraph"/>
        <w:numPr>
          <w:ilvl w:val="0"/>
          <w:numId w:val="7"/>
        </w:numPr>
        <w:spacing w:before="240" w:after="60"/>
      </w:pPr>
      <w:r w:rsidRPr="00732B18">
        <w:rPr>
          <w:color w:val="000000" w:themeColor="text1"/>
        </w:rPr>
        <w:t xml:space="preserve">Engagement with NI trade associations has highlighted a concern that this may disadvantage businesses in Northern Ireland who will be required to display a low food hygiene Rating online, however, the requirement to display a food hygiene rating online is not new - </w:t>
      </w:r>
      <w:r>
        <w:t>the Act already includes provisions which make it mandatory for food businesses to display their rating online in a specified manner, if consumers can order food online. The proposed regulations are required to satisfy those provisions. It should be noted that the requirement was introduced at the committee stage of the Food Hygiene Rating Bill (precursor to the Act) at the request of the members</w:t>
      </w:r>
      <w:r>
        <w:rPr>
          <w:rStyle w:val="FootnoteReference"/>
          <w:rFonts w:eastAsia="SimSun"/>
        </w:rPr>
        <w:footnoteReference w:id="30"/>
      </w:r>
      <w:r>
        <w:t>.</w:t>
      </w:r>
      <w:r w:rsidR="006A6A58">
        <w:br/>
      </w:r>
    </w:p>
    <w:p w14:paraId="33D24E14" w14:textId="0F969EDA" w:rsidR="00524436" w:rsidRPr="003D7BA6" w:rsidRDefault="009373AE" w:rsidP="00E10B42">
      <w:pPr>
        <w:pStyle w:val="ListParagraph"/>
        <w:numPr>
          <w:ilvl w:val="0"/>
          <w:numId w:val="7"/>
        </w:numPr>
        <w:spacing w:before="240" w:after="60"/>
        <w:rPr>
          <w:rFonts w:eastAsia="Calibri"/>
        </w:rPr>
      </w:pPr>
      <w:r w:rsidRPr="1C382D43">
        <w:rPr>
          <w:color w:val="000000" w:themeColor="text1"/>
        </w:rPr>
        <w:t xml:space="preserve">Although the proposed regulations will only apply to businesses in NI, both Wales and England are also in the process of </w:t>
      </w:r>
      <w:r w:rsidR="003213F1">
        <w:rPr>
          <w:color w:val="000000" w:themeColor="text1"/>
        </w:rPr>
        <w:t>scoping</w:t>
      </w:r>
      <w:r w:rsidR="003213F1" w:rsidRPr="1C382D43">
        <w:rPr>
          <w:color w:val="000000" w:themeColor="text1"/>
        </w:rPr>
        <w:t xml:space="preserve"> </w:t>
      </w:r>
      <w:r w:rsidRPr="1C382D43">
        <w:rPr>
          <w:color w:val="000000" w:themeColor="text1"/>
        </w:rPr>
        <w:t>a statutory requirement for businesses, who have an online food ordering facility, to display their food hygiene rating online.</w:t>
      </w:r>
      <w:r>
        <w:br/>
      </w:r>
    </w:p>
    <w:p w14:paraId="260A2358" w14:textId="77777777" w:rsidR="00524436" w:rsidRPr="002D2CDD" w:rsidRDefault="00524436" w:rsidP="00A80445">
      <w:pPr>
        <w:pStyle w:val="Heading3"/>
        <w:rPr>
          <w:rFonts w:eastAsia="Calibri"/>
        </w:rPr>
      </w:pPr>
      <w:r w:rsidRPr="002D2CDD">
        <w:rPr>
          <w:rFonts w:eastAsia="Calibri"/>
        </w:rPr>
        <w:t>Environmental Impacts</w:t>
      </w:r>
    </w:p>
    <w:p w14:paraId="6DFABBC9" w14:textId="39923625" w:rsidR="00524436" w:rsidRPr="002D2CDD" w:rsidRDefault="007A5FFF" w:rsidP="00E10B42">
      <w:pPr>
        <w:pStyle w:val="ListParagraph"/>
        <w:numPr>
          <w:ilvl w:val="0"/>
          <w:numId w:val="7"/>
        </w:numPr>
        <w:rPr>
          <w:rFonts w:eastAsia="Calibri"/>
        </w:rPr>
      </w:pPr>
      <w:r w:rsidRPr="1C382D43">
        <w:rPr>
          <w:rFonts w:eastAsia="Calibri"/>
        </w:rPr>
        <w:t>No specific analysis has been undertaken to formally assess the impact the secondary legislation would have on the wider environment</w:t>
      </w:r>
      <w:r w:rsidR="002538D5" w:rsidRPr="1C382D43">
        <w:rPr>
          <w:rFonts w:eastAsia="Calibri"/>
        </w:rPr>
        <w:t>, but</w:t>
      </w:r>
      <w:r w:rsidRPr="1C382D43">
        <w:rPr>
          <w:rFonts w:eastAsia="Calibri"/>
        </w:rPr>
        <w:t xml:space="preserve"> </w:t>
      </w:r>
      <w:r w:rsidR="002538D5" w:rsidRPr="1C382D43">
        <w:rPr>
          <w:rFonts w:eastAsia="Calibri"/>
        </w:rPr>
        <w:t>a</w:t>
      </w:r>
      <w:r w:rsidR="00E42EB5" w:rsidRPr="1C382D43">
        <w:rPr>
          <w:rFonts w:eastAsia="Calibri"/>
        </w:rPr>
        <w:t>s the secondary legislation’s focus is on</w:t>
      </w:r>
      <w:r w:rsidR="000264E8" w:rsidRPr="1C382D43">
        <w:rPr>
          <w:rFonts w:eastAsia="Calibri"/>
        </w:rPr>
        <w:t xml:space="preserve"> the regulation of</w:t>
      </w:r>
      <w:r w:rsidR="00E42EB5" w:rsidRPr="1C382D43">
        <w:rPr>
          <w:rFonts w:eastAsia="Calibri"/>
        </w:rPr>
        <w:t xml:space="preserve"> online</w:t>
      </w:r>
      <w:r w:rsidR="000264E8" w:rsidRPr="1C382D43">
        <w:rPr>
          <w:rFonts w:eastAsia="Calibri"/>
        </w:rPr>
        <w:t xml:space="preserve"> </w:t>
      </w:r>
      <w:r w:rsidR="00901869" w:rsidRPr="1C382D43">
        <w:rPr>
          <w:rFonts w:eastAsia="Calibri"/>
        </w:rPr>
        <w:t xml:space="preserve">settings, </w:t>
      </w:r>
      <w:r w:rsidR="00895537" w:rsidRPr="1C382D43">
        <w:rPr>
          <w:rFonts w:eastAsia="Calibri"/>
        </w:rPr>
        <w:t xml:space="preserve">the impact </w:t>
      </w:r>
      <w:r w:rsidRPr="1C382D43">
        <w:rPr>
          <w:rFonts w:eastAsia="Calibri"/>
        </w:rPr>
        <w:t>on the environment is expected to be minimal</w:t>
      </w:r>
      <w:r w:rsidR="0035707C" w:rsidRPr="1C382D43">
        <w:rPr>
          <w:rFonts w:eastAsia="Calibri"/>
        </w:rPr>
        <w:t>, if any</w:t>
      </w:r>
      <w:r w:rsidRPr="1C382D43">
        <w:rPr>
          <w:rFonts w:eastAsia="Calibri"/>
        </w:rPr>
        <w:t>.</w:t>
      </w:r>
      <w:r w:rsidR="00E42EB5" w:rsidRPr="1C382D43">
        <w:rPr>
          <w:rFonts w:eastAsia="Calibri"/>
        </w:rPr>
        <w:t xml:space="preserve"> </w:t>
      </w:r>
      <w:r>
        <w:br/>
      </w:r>
    </w:p>
    <w:p w14:paraId="53BAC20B" w14:textId="31AF318E" w:rsidR="008173FA" w:rsidRPr="006B20DE" w:rsidRDefault="008173FA" w:rsidP="00A80445">
      <w:pPr>
        <w:pStyle w:val="Heading3"/>
        <w:rPr>
          <w:rFonts w:eastAsia="Calibri"/>
        </w:rPr>
      </w:pPr>
      <w:r w:rsidRPr="006B20DE">
        <w:rPr>
          <w:rFonts w:eastAsia="Calibri"/>
        </w:rPr>
        <w:t>Wider benefits</w:t>
      </w:r>
      <w:r w:rsidR="004170EF">
        <w:rPr>
          <w:rFonts w:eastAsia="Calibri"/>
        </w:rPr>
        <w:t xml:space="preserve"> to </w:t>
      </w:r>
      <w:r w:rsidR="001B7A2A">
        <w:rPr>
          <w:rFonts w:eastAsia="Calibri"/>
        </w:rPr>
        <w:t>labour productivity</w:t>
      </w:r>
    </w:p>
    <w:p w14:paraId="3EB2FBC9" w14:textId="5A642B47" w:rsidR="008173FA" w:rsidRDefault="00252B31" w:rsidP="00E10B42">
      <w:pPr>
        <w:pStyle w:val="ListParagraph"/>
        <w:numPr>
          <w:ilvl w:val="0"/>
          <w:numId w:val="7"/>
        </w:numPr>
        <w:autoSpaceDE w:val="0"/>
        <w:autoSpaceDN w:val="0"/>
        <w:spacing w:before="240" w:after="60"/>
        <w:rPr>
          <w:color w:val="000000" w:themeColor="text1"/>
        </w:rPr>
      </w:pPr>
      <w:r w:rsidRPr="00252B31">
        <w:t>The main benefit to general society would be a reduction in the prevalence of foodborne disease. Increased compliance rates by businesses, as well as better access to information for consumers resulting in better informed ordering choices, would combine to reduce the prevalence of harmful bacteria in food purchased, reducing the prevalence of foodborne disease and improving public health.</w:t>
      </w:r>
      <w:r w:rsidR="00FF2BCA">
        <w:t xml:space="preserve"> </w:t>
      </w:r>
      <w:r w:rsidR="008173FA" w:rsidRPr="00BA1772">
        <w:t xml:space="preserve">Assuming the incentive for business compliance in the current statutory scheme will have a similar </w:t>
      </w:r>
      <w:r w:rsidR="008173FA">
        <w:t>e</w:t>
      </w:r>
      <w:r w:rsidR="008173FA" w:rsidRPr="00BA1772">
        <w:t xml:space="preserve">ffect on food businesses with an online ordering facility, FSA analysis has linked higher FHRS ratings to lower levels of microbes found </w:t>
      </w:r>
      <w:r w:rsidR="00FF2BCA">
        <w:t>at</w:t>
      </w:r>
      <w:r w:rsidR="008173FA" w:rsidRPr="00BA1772">
        <w:t xml:space="preserve"> food business</w:t>
      </w:r>
      <w:r w:rsidR="00FF2BCA">
        <w:t xml:space="preserve"> premises</w:t>
      </w:r>
      <w:r w:rsidR="008173FA" w:rsidRPr="00BA1772">
        <w:t>, ultimately lowering the risk to consumers of foodborne illness when eating food from higher rated premises</w:t>
      </w:r>
      <w:r w:rsidR="008173FA">
        <w:rPr>
          <w:rStyle w:val="FootnoteReference"/>
        </w:rPr>
        <w:footnoteReference w:id="31"/>
      </w:r>
      <w:r w:rsidR="008173FA" w:rsidRPr="00BA1772">
        <w:t>.  It has also shown statistically significant links between increased compliance and other positive measures of food safety, namely the proportion of unsatisfactory microbiological sample results and foodborne disease outbreaks, ultimately lowering the risk to consumers from foodborne illness.</w:t>
      </w:r>
      <w:r w:rsidR="00BB6DB8">
        <w:t xml:space="preserve"> </w:t>
      </w:r>
      <w:r w:rsidR="008173FA" w:rsidRPr="00BA1772">
        <w:t xml:space="preserve">This evidence suggests that mandatory display online could </w:t>
      </w:r>
      <w:r w:rsidR="008173FA">
        <w:t xml:space="preserve">help maintain and/or </w:t>
      </w:r>
      <w:r w:rsidR="008173FA" w:rsidRPr="00BA1772">
        <w:t>further improve compliance</w:t>
      </w:r>
      <w:r w:rsidR="008173FA">
        <w:t xml:space="preserve"> and in doing so reduce </w:t>
      </w:r>
      <w:r w:rsidR="008173FA" w:rsidRPr="00BA1772">
        <w:t>foodborne illness</w:t>
      </w:r>
      <w:r w:rsidR="008173FA">
        <w:t xml:space="preserve"> incidence</w:t>
      </w:r>
      <w:r w:rsidR="00282962">
        <w:t xml:space="preserve">. </w:t>
      </w:r>
      <w:r w:rsidR="00282962" w:rsidRPr="00282962">
        <w:t>This would have wider benefits, including a reduction in lost labour productivity for businesses, and reduced public health burden for health services.</w:t>
      </w:r>
      <w:r w:rsidR="00282962">
        <w:t xml:space="preserve"> H</w:t>
      </w:r>
      <w:r w:rsidR="008173FA">
        <w:t>owever</w:t>
      </w:r>
      <w:r w:rsidR="00282962">
        <w:t>,</w:t>
      </w:r>
      <w:r w:rsidR="008173FA">
        <w:t xml:space="preserve"> this is very difficult to monetise due to the already very high rate of compliance in NI (99% of food businesses in NI within scope of the Scheme are broadly compliant with food law).</w:t>
      </w:r>
      <w:r w:rsidR="00282962" w:rsidRPr="00282962">
        <w:t xml:space="preserve"> Existing switch effects </w:t>
      </w:r>
      <w:r w:rsidR="00282962" w:rsidRPr="00282962">
        <w:lastRenderedPageBreak/>
        <w:t xml:space="preserve">analysis for the introduction of physical mandatory display in England monetised the direct economic benefit of this reduction in foodborne disease prevalence, but </w:t>
      </w:r>
      <w:r w:rsidR="007E0B62">
        <w:t>a similar process could not be undertaken for this impact assessment</w:t>
      </w:r>
      <w:r w:rsidR="0089152D">
        <w:t xml:space="preserve"> for the reasons outlined previously</w:t>
      </w:r>
      <w:r w:rsidR="00282962" w:rsidRPr="00282962">
        <w:t>, thus this benefit is non-monetised, but remains of high importance when considering implantation of the legislation.</w:t>
      </w:r>
      <w:r w:rsidR="008173FA">
        <w:t xml:space="preserve"> The proposed regulations</w:t>
      </w:r>
      <w:r w:rsidR="008173FA" w:rsidRPr="2CBE60CD">
        <w:rPr>
          <w:color w:val="000000" w:themeColor="text1"/>
        </w:rPr>
        <w:t xml:space="preserve"> will allow the full scope of the Act, with regard to statutory display of a business’s food hygiene rating, to be implemented and therefore the full extent of public health benefits intended by the introduction of the Act to be realised.</w:t>
      </w:r>
      <w:r w:rsidR="00E66635" w:rsidRPr="2CBE60CD">
        <w:rPr>
          <w:color w:val="000000" w:themeColor="text1"/>
        </w:rPr>
        <w:t xml:space="preserve"> </w:t>
      </w:r>
    </w:p>
    <w:p w14:paraId="0F75FFD2" w14:textId="77777777" w:rsidR="00D50E30" w:rsidRDefault="00D50E30" w:rsidP="00732B18">
      <w:pPr>
        <w:rPr>
          <w:rFonts w:eastAsia="Calibri"/>
          <w:b/>
          <w:bCs/>
          <w:color w:val="006F51"/>
          <w:szCs w:val="24"/>
        </w:rPr>
      </w:pPr>
    </w:p>
    <w:p w14:paraId="6D42E507" w14:textId="5F1873AB" w:rsidR="008173FA" w:rsidRPr="00732B18" w:rsidRDefault="00F037D4" w:rsidP="00A80445">
      <w:pPr>
        <w:pStyle w:val="Heading2"/>
        <w:rPr>
          <w:rFonts w:eastAsia="Calibri"/>
        </w:rPr>
      </w:pPr>
      <w:r w:rsidRPr="002D2CDD">
        <w:rPr>
          <w:rFonts w:eastAsia="Calibri"/>
        </w:rPr>
        <w:t>M</w:t>
      </w:r>
      <w:r w:rsidR="00A80445">
        <w:rPr>
          <w:rFonts w:eastAsia="Calibri"/>
        </w:rPr>
        <w:t>onitoring and evaluation</w:t>
      </w:r>
      <w:r w:rsidRPr="002D2CDD">
        <w:rPr>
          <w:rFonts w:eastAsia="Calibri"/>
        </w:rPr>
        <w:t xml:space="preserve"> </w:t>
      </w:r>
    </w:p>
    <w:p w14:paraId="772AEA32" w14:textId="5375B6DD" w:rsidR="00800355" w:rsidRPr="003908DD" w:rsidRDefault="008173FA" w:rsidP="00E10B42">
      <w:pPr>
        <w:pStyle w:val="ListParagraph"/>
        <w:numPr>
          <w:ilvl w:val="0"/>
          <w:numId w:val="7"/>
        </w:numPr>
        <w:spacing w:before="240" w:after="60"/>
        <w:rPr>
          <w:rFonts w:eastAsia="Calibri"/>
          <w:b/>
          <w:bCs/>
        </w:rPr>
      </w:pPr>
      <w:r w:rsidRPr="1C382D43">
        <w:rPr>
          <w:color w:val="000000" w:themeColor="text1"/>
        </w:rPr>
        <w:t>FSA employ a number of means of monitoring and evaluating the operation of the statutory Food Hygiene Rating Scheme in Northern Ireland. They include annual research projects and surveys such as the annual Display of Food Hygiene Ratings Audit and Business Survey, and the Food and You survey. These research projects will be further refined to effectively monitor the impact of the Food Hygiene Rating (Online Display) Regulations (Northern Ireland) 2022 on business and consumers. The on-going monitoring and evaluation of the current scheme in Northern Ireland via continuous FHRS data analysis, quarterly and 6 weekly FSA-DC regional group meetings, annual FHRS steering group meetings and annual FSA</w:t>
      </w:r>
      <w:r w:rsidR="00852632" w:rsidRPr="1C382D43">
        <w:rPr>
          <w:color w:val="000000" w:themeColor="text1"/>
        </w:rPr>
        <w:t>-</w:t>
      </w:r>
      <w:r w:rsidRPr="1C382D43">
        <w:rPr>
          <w:color w:val="000000" w:themeColor="text1"/>
        </w:rPr>
        <w:t>DC audits will be extended to include the requirements of the Food Hygiene Rating (Online Display) Regulations (Northern Ireland) 2022. As with the current statutory Scheme, monitoring and evaluation of the online display requirements will become a ‘business as usual’ task for FSA as it will be incorporated into the already existing extensive mechanisms for monitoring and evaluating the FSA Food Hygiene Rating Scheme.</w:t>
      </w:r>
    </w:p>
    <w:p w14:paraId="73CF2B70" w14:textId="77777777" w:rsidR="008A385C" w:rsidRPr="00BF6C35" w:rsidRDefault="008A385C">
      <w:pPr>
        <w:tabs>
          <w:tab w:val="left" w:pos="7920"/>
        </w:tabs>
        <w:rPr>
          <w:rFonts w:eastAsia="Calibri"/>
          <w:b/>
          <w:color w:val="006F51"/>
        </w:rPr>
      </w:pPr>
    </w:p>
    <w:sectPr w:rsidR="008A385C" w:rsidRPr="00BF6C35" w:rsidSect="001641CF">
      <w:pgSz w:w="11906" w:h="16838"/>
      <w:pgMar w:top="540" w:right="926" w:bottom="72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605F" w14:textId="77777777" w:rsidR="002F7C4A" w:rsidRDefault="002F7C4A" w:rsidP="00B86759">
      <w:r>
        <w:separator/>
      </w:r>
    </w:p>
  </w:endnote>
  <w:endnote w:type="continuationSeparator" w:id="0">
    <w:p w14:paraId="091A62B0" w14:textId="77777777" w:rsidR="002F7C4A" w:rsidRDefault="002F7C4A" w:rsidP="00B86759">
      <w:r>
        <w:continuationSeparator/>
      </w:r>
    </w:p>
  </w:endnote>
  <w:endnote w:type="continuationNotice" w:id="1">
    <w:p w14:paraId="03CCC633" w14:textId="77777777" w:rsidR="002F7C4A" w:rsidRDefault="002F7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1530" w14:textId="77777777" w:rsidR="002F7C4A" w:rsidRDefault="002F7C4A" w:rsidP="00B86759">
      <w:r>
        <w:separator/>
      </w:r>
    </w:p>
  </w:footnote>
  <w:footnote w:type="continuationSeparator" w:id="0">
    <w:p w14:paraId="1BACC828" w14:textId="77777777" w:rsidR="002F7C4A" w:rsidRDefault="002F7C4A" w:rsidP="00B86759">
      <w:r>
        <w:continuationSeparator/>
      </w:r>
    </w:p>
  </w:footnote>
  <w:footnote w:type="continuationNotice" w:id="1">
    <w:p w14:paraId="3E299BA2" w14:textId="77777777" w:rsidR="002F7C4A" w:rsidRDefault="002F7C4A"/>
  </w:footnote>
  <w:footnote w:id="2">
    <w:p w14:paraId="263EE731" w14:textId="77777777" w:rsidR="00704C19" w:rsidRPr="004302BC" w:rsidRDefault="00704C19" w:rsidP="00704C19">
      <w:pPr>
        <w:pStyle w:val="FootnoteText"/>
        <w:rPr>
          <w:sz w:val="22"/>
          <w:szCs w:val="22"/>
        </w:rPr>
      </w:pPr>
      <w:r w:rsidRPr="004302BC">
        <w:rPr>
          <w:rStyle w:val="FootnoteReference"/>
          <w:szCs w:val="22"/>
        </w:rPr>
        <w:footnoteRef/>
      </w:r>
      <w:r w:rsidRPr="004302BC">
        <w:rPr>
          <w:sz w:val="22"/>
          <w:szCs w:val="22"/>
        </w:rPr>
        <w:t xml:space="preserve"> Costs presented in 2019 prices, 2020 PV Base Year</w:t>
      </w:r>
    </w:p>
  </w:footnote>
  <w:footnote w:id="3">
    <w:p w14:paraId="0AC5C88B" w14:textId="77777777" w:rsidR="00ED2911" w:rsidRPr="005359CE" w:rsidRDefault="00ED2911" w:rsidP="00ED2911">
      <w:pPr>
        <w:pStyle w:val="FootnoteText"/>
        <w:rPr>
          <w:sz w:val="22"/>
          <w:szCs w:val="22"/>
        </w:rPr>
      </w:pPr>
      <w:r w:rsidRPr="005359CE">
        <w:rPr>
          <w:rStyle w:val="FootnoteReference"/>
          <w:szCs w:val="22"/>
        </w:rPr>
        <w:footnoteRef/>
      </w:r>
      <w:r w:rsidRPr="005359CE">
        <w:rPr>
          <w:sz w:val="22"/>
          <w:szCs w:val="22"/>
        </w:rPr>
        <w:t xml:space="preserve"> 2023 chosen as the Base Year to reflect the start of the appraisal period and first year in which the policy will be implemented </w:t>
      </w:r>
    </w:p>
  </w:footnote>
  <w:footnote w:id="4">
    <w:p w14:paraId="3EE05B8C" w14:textId="77777777" w:rsidR="00ED2911" w:rsidRPr="005359CE" w:rsidRDefault="00ED2911" w:rsidP="00ED2911">
      <w:pPr>
        <w:pStyle w:val="FootnoteText"/>
        <w:rPr>
          <w:sz w:val="22"/>
          <w:szCs w:val="22"/>
        </w:rPr>
      </w:pPr>
      <w:r w:rsidRPr="005359CE">
        <w:rPr>
          <w:rStyle w:val="FootnoteReference"/>
          <w:szCs w:val="22"/>
        </w:rPr>
        <w:footnoteRef/>
      </w:r>
      <w:r w:rsidRPr="005359CE">
        <w:rPr>
          <w:sz w:val="22"/>
          <w:szCs w:val="22"/>
        </w:rPr>
        <w:t xml:space="preserve"> Total cost figures presented in 2019 prices, 2020 Base Year in line with standard requirements for Regulatory Impact Assessments (RIA’s)</w:t>
      </w:r>
    </w:p>
  </w:footnote>
  <w:footnote w:id="5">
    <w:p w14:paraId="33E26790" w14:textId="77777777" w:rsidR="00ED2911" w:rsidRDefault="00ED2911" w:rsidP="00ED2911">
      <w:pPr>
        <w:pStyle w:val="FootnoteText"/>
      </w:pPr>
      <w:r>
        <w:rPr>
          <w:rStyle w:val="FootnoteReference"/>
        </w:rPr>
        <w:footnoteRef/>
      </w:r>
      <w:r>
        <w:t xml:space="preserve"> </w:t>
      </w:r>
      <w:r w:rsidRPr="006A0631">
        <w:rPr>
          <w:sz w:val="22"/>
          <w:szCs w:val="22"/>
        </w:rPr>
        <w:t>Annual costs are non-zero, and consist of the re-rating costs outlined in the supporting paragraphs</w:t>
      </w:r>
    </w:p>
  </w:footnote>
  <w:footnote w:id="6">
    <w:p w14:paraId="58458783" w14:textId="73FC5785" w:rsidR="00EF454E" w:rsidRPr="005359CE" w:rsidRDefault="00EF454E">
      <w:pPr>
        <w:pStyle w:val="FootnoteText"/>
        <w:rPr>
          <w:sz w:val="22"/>
          <w:szCs w:val="22"/>
        </w:rPr>
      </w:pPr>
      <w:r w:rsidRPr="005359CE">
        <w:rPr>
          <w:rStyle w:val="FootnoteReference"/>
          <w:szCs w:val="22"/>
        </w:rPr>
        <w:footnoteRef/>
      </w:r>
      <w:r w:rsidRPr="005359CE">
        <w:rPr>
          <w:sz w:val="22"/>
          <w:szCs w:val="22"/>
        </w:rPr>
        <w:t xml:space="preserve"> </w:t>
      </w:r>
      <w:hyperlink r:id="rId1" w:history="1">
        <w:r w:rsidR="004936BE" w:rsidRPr="005359CE">
          <w:rPr>
            <w:rStyle w:val="Hyperlink"/>
            <w:sz w:val="22"/>
            <w:szCs w:val="22"/>
          </w:rPr>
          <w:t>Display of food hygiene</w:t>
        </w:r>
        <w:r w:rsidR="002A7AA5" w:rsidRPr="005359CE">
          <w:rPr>
            <w:rStyle w:val="Hyperlink"/>
            <w:sz w:val="22"/>
            <w:szCs w:val="22"/>
          </w:rPr>
          <w:t xml:space="preserve"> ratings in England</w:t>
        </w:r>
        <w:r w:rsidR="000F31E2" w:rsidRPr="005359CE">
          <w:rPr>
            <w:rStyle w:val="Hyperlink"/>
            <w:sz w:val="22"/>
            <w:szCs w:val="22"/>
          </w:rPr>
          <w:t>, Northern Ireland and Wales</w:t>
        </w:r>
        <w:r w:rsidR="00937472" w:rsidRPr="005359CE">
          <w:rPr>
            <w:rStyle w:val="Hyperlink"/>
            <w:sz w:val="22"/>
            <w:szCs w:val="22"/>
          </w:rPr>
          <w:t>. FSA. BMG Research</w:t>
        </w:r>
        <w:r w:rsidR="00983FE6" w:rsidRPr="005359CE">
          <w:rPr>
            <w:rStyle w:val="Hyperlink"/>
            <w:sz w:val="22"/>
            <w:szCs w:val="22"/>
          </w:rPr>
          <w:t>.</w:t>
        </w:r>
        <w:r w:rsidR="005F2C5E" w:rsidRPr="005359CE">
          <w:rPr>
            <w:rStyle w:val="Hyperlink"/>
            <w:sz w:val="22"/>
            <w:szCs w:val="22"/>
          </w:rPr>
          <w:t xml:space="preserve"> Dec 2019</w:t>
        </w:r>
      </w:hyperlink>
    </w:p>
  </w:footnote>
  <w:footnote w:id="7">
    <w:p w14:paraId="04159779" w14:textId="53A7AB91" w:rsidR="00247297" w:rsidRPr="005359CE" w:rsidRDefault="00247297">
      <w:pPr>
        <w:pStyle w:val="FootnoteText"/>
        <w:rPr>
          <w:sz w:val="22"/>
          <w:szCs w:val="22"/>
        </w:rPr>
      </w:pPr>
      <w:r w:rsidRPr="005359CE">
        <w:rPr>
          <w:rStyle w:val="FootnoteReference"/>
          <w:szCs w:val="22"/>
        </w:rPr>
        <w:footnoteRef/>
      </w:r>
      <w:r w:rsidRPr="005359CE">
        <w:rPr>
          <w:sz w:val="22"/>
          <w:szCs w:val="22"/>
        </w:rPr>
        <w:t xml:space="preserve"> </w:t>
      </w:r>
      <w:r w:rsidR="00C0275F" w:rsidRPr="005359CE">
        <w:rPr>
          <w:sz w:val="22"/>
          <w:szCs w:val="22"/>
        </w:rPr>
        <w:t xml:space="preserve">Profile of ratings of food businesses in NI within scope of the statutory FHRS. </w:t>
      </w:r>
      <w:r w:rsidR="00124D4F" w:rsidRPr="005359CE">
        <w:rPr>
          <w:sz w:val="22"/>
          <w:szCs w:val="22"/>
        </w:rPr>
        <w:t>Dataset</w:t>
      </w:r>
      <w:r w:rsidR="00C0275F" w:rsidRPr="005359CE">
        <w:rPr>
          <w:sz w:val="22"/>
          <w:szCs w:val="22"/>
        </w:rPr>
        <w:t xml:space="preserve"> </w:t>
      </w:r>
      <w:r w:rsidR="00D32C35" w:rsidRPr="005359CE">
        <w:rPr>
          <w:sz w:val="22"/>
          <w:szCs w:val="22"/>
        </w:rPr>
        <w:t>extracted</w:t>
      </w:r>
      <w:r w:rsidR="0039270C" w:rsidRPr="005359CE">
        <w:rPr>
          <w:sz w:val="22"/>
          <w:szCs w:val="22"/>
        </w:rPr>
        <w:t xml:space="preserve"> from</w:t>
      </w:r>
      <w:r w:rsidR="00C0275F" w:rsidRPr="005359CE">
        <w:rPr>
          <w:sz w:val="22"/>
          <w:szCs w:val="22"/>
        </w:rPr>
        <w:t xml:space="preserve"> FSA</w:t>
      </w:r>
      <w:r w:rsidR="004A41BC" w:rsidRPr="005359CE">
        <w:rPr>
          <w:sz w:val="22"/>
          <w:szCs w:val="22"/>
        </w:rPr>
        <w:t>’s</w:t>
      </w:r>
      <w:r w:rsidR="00C0275F" w:rsidRPr="005359CE">
        <w:rPr>
          <w:sz w:val="22"/>
          <w:szCs w:val="22"/>
        </w:rPr>
        <w:t xml:space="preserve"> FHRS </w:t>
      </w:r>
      <w:r w:rsidR="00D97B36" w:rsidRPr="005359CE">
        <w:rPr>
          <w:sz w:val="22"/>
          <w:szCs w:val="22"/>
        </w:rPr>
        <w:t>IT</w:t>
      </w:r>
      <w:r w:rsidR="009D2DB9" w:rsidRPr="005359CE">
        <w:rPr>
          <w:sz w:val="22"/>
          <w:szCs w:val="22"/>
        </w:rPr>
        <w:t xml:space="preserve"> database.</w:t>
      </w:r>
    </w:p>
  </w:footnote>
  <w:footnote w:id="8">
    <w:p w14:paraId="0C31B673" w14:textId="77777777" w:rsidR="00EF3080" w:rsidRPr="00307706" w:rsidRDefault="00EF3080" w:rsidP="00EF3080">
      <w:pPr>
        <w:pStyle w:val="FootnoteText"/>
        <w:spacing w:after="60"/>
        <w:rPr>
          <w:sz w:val="18"/>
        </w:rPr>
      </w:pPr>
      <w:r w:rsidRPr="005359CE">
        <w:rPr>
          <w:rStyle w:val="FootnoteReference"/>
          <w:szCs w:val="22"/>
        </w:rPr>
        <w:footnoteRef/>
      </w:r>
      <w:r w:rsidRPr="005359CE">
        <w:rPr>
          <w:sz w:val="22"/>
          <w:szCs w:val="22"/>
        </w:rPr>
        <w:t xml:space="preserve">   </w:t>
      </w:r>
      <w:hyperlink r:id="rId2" w:history="1">
        <w:r w:rsidRPr="005359CE">
          <w:rPr>
            <w:rStyle w:val="Hyperlink"/>
            <w:sz w:val="22"/>
            <w:szCs w:val="22"/>
          </w:rPr>
          <w:t>Evidence of relationship between food business hygiene compliance and measures of food safety (March 2019</w:t>
        </w:r>
      </w:hyperlink>
      <w:r w:rsidRPr="005359CE">
        <w:rPr>
          <w:rStyle w:val="Hyperlink"/>
          <w:sz w:val="22"/>
          <w:szCs w:val="22"/>
        </w:rPr>
        <w:t>)</w:t>
      </w:r>
    </w:p>
  </w:footnote>
  <w:footnote w:id="9">
    <w:p w14:paraId="24A801EF" w14:textId="77777777" w:rsidR="00A45810" w:rsidRPr="005359CE" w:rsidRDefault="00A45810" w:rsidP="00A45810">
      <w:pPr>
        <w:pStyle w:val="FootnoteText"/>
        <w:rPr>
          <w:sz w:val="22"/>
          <w:szCs w:val="22"/>
        </w:rPr>
      </w:pPr>
      <w:r w:rsidRPr="005359CE">
        <w:rPr>
          <w:rStyle w:val="FootnoteReference"/>
          <w:szCs w:val="22"/>
        </w:rPr>
        <w:footnoteRef/>
      </w:r>
      <w:r w:rsidRPr="005359CE">
        <w:rPr>
          <w:sz w:val="22"/>
          <w:szCs w:val="22"/>
        </w:rPr>
        <w:t xml:space="preserve"> </w:t>
      </w:r>
      <w:hyperlink r:id="rId3" w:history="1">
        <w:r w:rsidRPr="005359CE">
          <w:rPr>
            <w:rStyle w:val="Hyperlink"/>
            <w:sz w:val="22"/>
            <w:szCs w:val="22"/>
          </w:rPr>
          <w:t>Understanding Northern Ireland consumer needs around  FHRS information in online retail environments (June 2016)</w:t>
        </w:r>
      </w:hyperlink>
      <w:r w:rsidRPr="005359CE">
        <w:rPr>
          <w:sz w:val="22"/>
          <w:szCs w:val="22"/>
        </w:rPr>
        <w:t xml:space="preserve"> </w:t>
      </w:r>
    </w:p>
    <w:p w14:paraId="5C5EF694" w14:textId="77777777" w:rsidR="00A45810" w:rsidRPr="005359CE" w:rsidRDefault="00A45810" w:rsidP="00A45810">
      <w:pPr>
        <w:pStyle w:val="FootnoteText"/>
        <w:rPr>
          <w:sz w:val="22"/>
          <w:szCs w:val="22"/>
        </w:rPr>
      </w:pPr>
    </w:p>
  </w:footnote>
  <w:footnote w:id="10">
    <w:p w14:paraId="17D449FB" w14:textId="66A085DE" w:rsidR="00AD4E81" w:rsidRDefault="00AD4E81">
      <w:pPr>
        <w:pStyle w:val="FootnoteText"/>
      </w:pPr>
      <w:r w:rsidRPr="61266E4B">
        <w:rPr>
          <w:rStyle w:val="FootnoteReference"/>
        </w:rPr>
        <w:footnoteRef/>
      </w:r>
      <w:hyperlink r:id="rId4" w:history="1">
        <w:r w:rsidR="00925944" w:rsidRPr="005359CE">
          <w:rPr>
            <w:rStyle w:val="Hyperlink"/>
            <w:sz w:val="22"/>
            <w:szCs w:val="22"/>
          </w:rPr>
          <w:t>Online</w:t>
        </w:r>
        <w:r w:rsidR="006C708A" w:rsidRPr="005359CE">
          <w:rPr>
            <w:rStyle w:val="Hyperlink"/>
            <w:sz w:val="22"/>
            <w:szCs w:val="22"/>
          </w:rPr>
          <w:t xml:space="preserve"> Food Ordering and Delivery Platforms in the UK</w:t>
        </w:r>
        <w:r w:rsidR="002F6DD3" w:rsidRPr="005359CE">
          <w:rPr>
            <w:rStyle w:val="Hyperlink"/>
            <w:sz w:val="22"/>
            <w:szCs w:val="22"/>
          </w:rPr>
          <w:t xml:space="preserve"> – Market Size (2018-2028)</w:t>
        </w:r>
      </w:hyperlink>
      <w:r w:rsidR="000F7647" w:rsidRPr="005359CE">
        <w:rPr>
          <w:sz w:val="22"/>
          <w:szCs w:val="22"/>
        </w:rPr>
        <w:t>. IBISWORLD</w:t>
      </w:r>
    </w:p>
  </w:footnote>
  <w:footnote w:id="11">
    <w:p w14:paraId="7893B406" w14:textId="77777777" w:rsidR="00D50F04" w:rsidRPr="005359CE" w:rsidRDefault="00D50F04" w:rsidP="00D50F04">
      <w:pPr>
        <w:pStyle w:val="FootnoteText"/>
        <w:rPr>
          <w:sz w:val="22"/>
          <w:szCs w:val="22"/>
        </w:rPr>
      </w:pPr>
      <w:r w:rsidRPr="005359CE">
        <w:rPr>
          <w:rStyle w:val="FootnoteReference"/>
          <w:szCs w:val="22"/>
        </w:rPr>
        <w:footnoteRef/>
      </w:r>
      <w:r w:rsidRPr="005359CE">
        <w:rPr>
          <w:sz w:val="22"/>
          <w:szCs w:val="22"/>
        </w:rPr>
        <w:t xml:space="preserve"> Northern Ireland Assembly. Committee for Health, Social Services and Public Safety. Official Report (HANSARD) Food Hygiene Rating Bill: Food Standards Agency NI. 26 November 2014</w:t>
      </w:r>
    </w:p>
  </w:footnote>
  <w:footnote w:id="12">
    <w:p w14:paraId="1A40F1EF" w14:textId="7FDEE59A" w:rsidR="00104ED0" w:rsidRPr="005359CE" w:rsidRDefault="00104ED0" w:rsidP="00104ED0">
      <w:pPr>
        <w:pStyle w:val="FootnoteText"/>
        <w:rPr>
          <w:sz w:val="22"/>
          <w:szCs w:val="22"/>
        </w:rPr>
      </w:pPr>
      <w:r w:rsidRPr="005359CE">
        <w:rPr>
          <w:rStyle w:val="FootnoteReference"/>
          <w:szCs w:val="22"/>
        </w:rPr>
        <w:footnoteRef/>
      </w:r>
      <w:r w:rsidR="0056544F" w:rsidRPr="005359CE">
        <w:rPr>
          <w:sz w:val="22"/>
          <w:szCs w:val="22"/>
        </w:rPr>
        <w:t xml:space="preserve"> </w:t>
      </w:r>
      <w:hyperlink r:id="rId5" w:history="1">
        <w:r w:rsidR="0056544F" w:rsidRPr="005359CE">
          <w:rPr>
            <w:rStyle w:val="Hyperlink"/>
            <w:sz w:val="22"/>
            <w:szCs w:val="22"/>
          </w:rPr>
          <w:t xml:space="preserve">Food Hygiene Rating Scheme, Consumer Attitudes </w:t>
        </w:r>
        <w:r w:rsidR="00B953B5" w:rsidRPr="005359CE">
          <w:rPr>
            <w:rStyle w:val="Hyperlink"/>
            <w:sz w:val="22"/>
            <w:szCs w:val="22"/>
          </w:rPr>
          <w:t>Tracker (Wave 8)</w:t>
        </w:r>
        <w:r w:rsidR="000C2E99" w:rsidRPr="005359CE">
          <w:rPr>
            <w:rStyle w:val="Hyperlink"/>
            <w:sz w:val="22"/>
            <w:szCs w:val="22"/>
          </w:rPr>
          <w:t>. Oct 20</w:t>
        </w:r>
        <w:r w:rsidR="009557D7" w:rsidRPr="005359CE">
          <w:rPr>
            <w:rStyle w:val="Hyperlink"/>
            <w:sz w:val="22"/>
            <w:szCs w:val="22"/>
          </w:rPr>
          <w:t>19</w:t>
        </w:r>
      </w:hyperlink>
    </w:p>
  </w:footnote>
  <w:footnote w:id="13">
    <w:p w14:paraId="3B1A6985" w14:textId="6DBD03C9" w:rsidR="00CF329F" w:rsidRPr="005359CE" w:rsidRDefault="00CF329F" w:rsidP="00CF329F">
      <w:pPr>
        <w:pStyle w:val="FootnoteText"/>
        <w:widowControl w:val="0"/>
        <w:rPr>
          <w:sz w:val="22"/>
          <w:szCs w:val="22"/>
        </w:rPr>
      </w:pPr>
      <w:r w:rsidRPr="005359CE">
        <w:rPr>
          <w:rStyle w:val="FootnoteReference"/>
          <w:szCs w:val="22"/>
        </w:rPr>
        <w:footnoteRef/>
      </w:r>
      <w:r w:rsidRPr="005359CE">
        <w:rPr>
          <w:sz w:val="22"/>
          <w:szCs w:val="22"/>
        </w:rPr>
        <w:t xml:space="preserve">  </w:t>
      </w:r>
      <w:hyperlink r:id="rId6" w:history="1">
        <w:r w:rsidRPr="005359CE">
          <w:rPr>
            <w:rStyle w:val="Hyperlink"/>
            <w:sz w:val="22"/>
            <w:szCs w:val="22"/>
          </w:rPr>
          <w:t>Earnings and hours worked, occupation by four-digit SOC: ASHE Table 14,</w:t>
        </w:r>
      </w:hyperlink>
      <w:r w:rsidRPr="005359CE">
        <w:rPr>
          <w:sz w:val="22"/>
          <w:szCs w:val="22"/>
        </w:rPr>
        <w:t>(20</w:t>
      </w:r>
      <w:r w:rsidR="002B134A" w:rsidRPr="005359CE">
        <w:rPr>
          <w:sz w:val="22"/>
          <w:szCs w:val="22"/>
        </w:rPr>
        <w:t>21</w:t>
      </w:r>
      <w:r w:rsidRPr="005359CE">
        <w:rPr>
          <w:sz w:val="22"/>
          <w:szCs w:val="22"/>
        </w:rPr>
        <w:t xml:space="preserve">) </w:t>
      </w:r>
    </w:p>
    <w:p w14:paraId="7F4EF2EC" w14:textId="77777777" w:rsidR="00CF329F" w:rsidRPr="005359CE" w:rsidRDefault="00CF329F" w:rsidP="00CF329F">
      <w:pPr>
        <w:pStyle w:val="FootnoteText"/>
        <w:widowControl w:val="0"/>
        <w:rPr>
          <w:sz w:val="22"/>
          <w:szCs w:val="22"/>
        </w:rPr>
      </w:pPr>
    </w:p>
  </w:footnote>
  <w:footnote w:id="14">
    <w:p w14:paraId="12CA3F40" w14:textId="1CA60999" w:rsidR="00CF329F" w:rsidRPr="005359CE" w:rsidRDefault="00CF329F" w:rsidP="00CF329F">
      <w:pPr>
        <w:pStyle w:val="FootnoteText"/>
        <w:rPr>
          <w:sz w:val="22"/>
          <w:szCs w:val="22"/>
        </w:rPr>
      </w:pPr>
      <w:r w:rsidRPr="005359CE">
        <w:rPr>
          <w:rStyle w:val="FootnoteReference"/>
          <w:szCs w:val="22"/>
        </w:rPr>
        <w:footnoteRef/>
      </w:r>
      <w:hyperlink r:id="rId7" w:history="1">
        <w:r w:rsidR="00223910" w:rsidRPr="005359CE">
          <w:rPr>
            <w:rStyle w:val="Hyperlink"/>
            <w:sz w:val="22"/>
            <w:szCs w:val="22"/>
          </w:rPr>
          <w:t>https://assets.publishing.service.gov.uk/government/uploads/system/uploads/attachment_data/file/827926/RPC_short_guidance_note_-_Implementation_costs__August_2019.pdf</w:t>
        </w:r>
      </w:hyperlink>
      <w:r w:rsidR="00223910" w:rsidRPr="005359CE">
        <w:rPr>
          <w:sz w:val="22"/>
          <w:szCs w:val="22"/>
        </w:rPr>
        <w:t xml:space="preserve"> </w:t>
      </w:r>
    </w:p>
  </w:footnote>
  <w:footnote w:id="15">
    <w:p w14:paraId="0883AA40" w14:textId="673070C6" w:rsidR="006A14DD" w:rsidRPr="00D72509" w:rsidRDefault="006A14DD">
      <w:pPr>
        <w:pStyle w:val="FootnoteText"/>
        <w:rPr>
          <w:lang w:val="pl-PL"/>
        </w:rPr>
      </w:pPr>
      <w:r w:rsidRPr="005359CE">
        <w:rPr>
          <w:rStyle w:val="FootnoteReference"/>
          <w:szCs w:val="22"/>
        </w:rPr>
        <w:footnoteRef/>
      </w:r>
      <w:r w:rsidRPr="005359CE">
        <w:rPr>
          <w:sz w:val="22"/>
          <w:szCs w:val="22"/>
        </w:rPr>
        <w:t xml:space="preserve"> Display of food hygiene ratings in England, Northern Ireland and Wales. Report prepared for: Food Standards Agency</w:t>
      </w:r>
      <w:r w:rsidR="00D72509" w:rsidRPr="005359CE">
        <w:rPr>
          <w:sz w:val="22"/>
          <w:szCs w:val="22"/>
        </w:rPr>
        <w:t>,</w:t>
      </w:r>
      <w:r w:rsidRPr="005359CE">
        <w:rPr>
          <w:sz w:val="22"/>
          <w:szCs w:val="22"/>
        </w:rPr>
        <w:t xml:space="preserve"> Prepared by: BMG Research. </w:t>
      </w:r>
      <w:r w:rsidR="00D72509" w:rsidRPr="005359CE">
        <w:rPr>
          <w:sz w:val="22"/>
          <w:szCs w:val="22"/>
          <w:lang w:val="pl-PL"/>
        </w:rPr>
        <w:t xml:space="preserve">Dec 2019: </w:t>
      </w:r>
      <w:hyperlink r:id="rId8" w:history="1">
        <w:r w:rsidR="00D72509" w:rsidRPr="005359CE">
          <w:rPr>
            <w:rStyle w:val="Hyperlink"/>
            <w:sz w:val="22"/>
            <w:szCs w:val="22"/>
            <w:lang w:val="pl-PL"/>
          </w:rPr>
          <w:t>https://www.food.gov.uk/sites/default/files/media/document/display-of-food-hygiene-ratings-in-england-northern-ireland-and-wales.pdf</w:t>
        </w:r>
      </w:hyperlink>
      <w:r w:rsidR="00D72509">
        <w:rPr>
          <w:lang w:val="pl-PL"/>
        </w:rPr>
        <w:t xml:space="preserve"> </w:t>
      </w:r>
    </w:p>
  </w:footnote>
  <w:footnote w:id="16">
    <w:p w14:paraId="1834C955" w14:textId="0C782D26" w:rsidR="006F0D7D" w:rsidRPr="005359CE" w:rsidRDefault="006F0D7D" w:rsidP="006F0D7D">
      <w:pPr>
        <w:spacing w:after="60"/>
        <w:ind w:left="227" w:hanging="227"/>
        <w:rPr>
          <w:sz w:val="22"/>
          <w:szCs w:val="22"/>
        </w:rPr>
      </w:pPr>
      <w:r w:rsidRPr="005359CE">
        <w:rPr>
          <w:rStyle w:val="FootnoteReference"/>
          <w:szCs w:val="22"/>
        </w:rPr>
        <w:footnoteRef/>
      </w:r>
      <w:r w:rsidRPr="005359CE">
        <w:rPr>
          <w:sz w:val="22"/>
          <w:szCs w:val="22"/>
        </w:rPr>
        <w:t xml:space="preserve"> </w:t>
      </w:r>
      <w:r w:rsidRPr="005359CE">
        <w:rPr>
          <w:sz w:val="22"/>
          <w:szCs w:val="22"/>
        </w:rPr>
        <w:tab/>
      </w:r>
      <w:bookmarkStart w:id="7" w:name="_Hlk104200298"/>
      <w:r w:rsidR="003902D9">
        <w:fldChar w:fldCharType="begin"/>
      </w:r>
      <w:r w:rsidR="003902D9">
        <w:instrText xml:space="preserve"> HYPERLINK "https://www.ons.gov.uk/employmentandlabourmarket/peopleinwork/earningsandworkinghours/datasets/ashe1997to2015selectedestimates" </w:instrText>
      </w:r>
      <w:r w:rsidR="003902D9">
        <w:fldChar w:fldCharType="separate"/>
      </w:r>
      <w:r w:rsidRPr="005359CE">
        <w:rPr>
          <w:rStyle w:val="Hyperlink"/>
          <w:sz w:val="22"/>
          <w:szCs w:val="22"/>
        </w:rPr>
        <w:t>Based on the median wage rate for Environmental Health Professionals (Code 2463), ASHE (20</w:t>
      </w:r>
      <w:r w:rsidR="00EB18C0" w:rsidRPr="005359CE">
        <w:rPr>
          <w:rStyle w:val="Hyperlink"/>
          <w:sz w:val="22"/>
          <w:szCs w:val="22"/>
        </w:rPr>
        <w:t>21</w:t>
      </w:r>
      <w:r w:rsidRPr="005359CE">
        <w:rPr>
          <w:rStyle w:val="Hyperlink"/>
          <w:sz w:val="22"/>
          <w:szCs w:val="22"/>
        </w:rPr>
        <w:t>), table 14.6a.</w:t>
      </w:r>
      <w:r w:rsidR="003902D9">
        <w:rPr>
          <w:rStyle w:val="Hyperlink"/>
          <w:sz w:val="22"/>
          <w:szCs w:val="22"/>
        </w:rPr>
        <w:fldChar w:fldCharType="end"/>
      </w:r>
      <w:bookmarkEnd w:id="7"/>
    </w:p>
  </w:footnote>
  <w:footnote w:id="17">
    <w:p w14:paraId="3C1C7BF3" w14:textId="77777777" w:rsidR="006F0D7D" w:rsidRPr="005359CE" w:rsidRDefault="006F0D7D" w:rsidP="006F0D7D">
      <w:pPr>
        <w:pStyle w:val="FootnoteText"/>
        <w:rPr>
          <w:sz w:val="22"/>
          <w:szCs w:val="22"/>
        </w:rPr>
      </w:pPr>
      <w:r w:rsidRPr="005359CE">
        <w:rPr>
          <w:rStyle w:val="FootnoteReference"/>
          <w:szCs w:val="22"/>
        </w:rPr>
        <w:footnoteRef/>
      </w:r>
      <w:r w:rsidRPr="005359CE">
        <w:rPr>
          <w:sz w:val="22"/>
          <w:szCs w:val="22"/>
        </w:rPr>
        <w:t xml:space="preserve"> </w:t>
      </w:r>
      <w:hyperlink r:id="rId9" w:history="1">
        <w:r w:rsidRPr="005359CE">
          <w:rPr>
            <w:rStyle w:val="Hyperlink"/>
            <w:sz w:val="22"/>
            <w:szCs w:val="22"/>
          </w:rPr>
          <w:t>https://www.ons.gov.uk/employmentandlabourmarket/peopleinwork/earningsandworkinghours/datasets/occupation4digitsoc2010ashetable14</w:t>
        </w:r>
      </w:hyperlink>
    </w:p>
    <w:p w14:paraId="2BCBEA5A" w14:textId="77777777" w:rsidR="006F0D7D" w:rsidRDefault="006F0D7D" w:rsidP="006F0D7D">
      <w:pPr>
        <w:pStyle w:val="FootnoteText"/>
      </w:pPr>
    </w:p>
  </w:footnote>
  <w:footnote w:id="18">
    <w:p w14:paraId="7D8191FF" w14:textId="5B185B59" w:rsidR="00B91FB2" w:rsidRDefault="00B91FB2">
      <w:pPr>
        <w:pStyle w:val="FootnoteText"/>
      </w:pPr>
      <w:r>
        <w:rPr>
          <w:rStyle w:val="FootnoteReference"/>
        </w:rPr>
        <w:footnoteRef/>
      </w:r>
      <w:r>
        <w:t xml:space="preserve"> </w:t>
      </w:r>
      <w:hyperlink r:id="rId10" w:history="1">
        <w:r w:rsidRPr="005359CE">
          <w:rPr>
            <w:rStyle w:val="Hyperlink"/>
            <w:sz w:val="22"/>
            <w:szCs w:val="22"/>
          </w:rPr>
          <w:t>Based on the median wage rate for</w:t>
        </w:r>
        <w:r w:rsidR="008C4D5A">
          <w:rPr>
            <w:rStyle w:val="Hyperlink"/>
            <w:sz w:val="22"/>
            <w:szCs w:val="22"/>
          </w:rPr>
          <w:t xml:space="preserve"> </w:t>
        </w:r>
        <w:r w:rsidR="008C4D5A" w:rsidRPr="008C4D5A">
          <w:rPr>
            <w:rStyle w:val="Hyperlink"/>
            <w:sz w:val="22"/>
            <w:szCs w:val="22"/>
          </w:rPr>
          <w:t>IT user support technicians</w:t>
        </w:r>
        <w:r w:rsidRPr="005359CE">
          <w:rPr>
            <w:rStyle w:val="Hyperlink"/>
            <w:sz w:val="22"/>
            <w:szCs w:val="22"/>
          </w:rPr>
          <w:t xml:space="preserve"> (Code </w:t>
        </w:r>
        <w:r w:rsidR="009339DC">
          <w:rPr>
            <w:rStyle w:val="Hyperlink"/>
            <w:sz w:val="22"/>
            <w:szCs w:val="22"/>
          </w:rPr>
          <w:t>3132</w:t>
        </w:r>
        <w:r w:rsidRPr="005359CE">
          <w:rPr>
            <w:rStyle w:val="Hyperlink"/>
            <w:sz w:val="22"/>
            <w:szCs w:val="22"/>
          </w:rPr>
          <w:t>), ASHE (2021), table 14.6a.</w:t>
        </w:r>
      </w:hyperlink>
    </w:p>
  </w:footnote>
  <w:footnote w:id="19">
    <w:p w14:paraId="09020397" w14:textId="7B36BDC0" w:rsidR="0067363D" w:rsidRPr="005359CE" w:rsidRDefault="0067363D">
      <w:pPr>
        <w:pStyle w:val="FootnoteText"/>
        <w:rPr>
          <w:sz w:val="22"/>
          <w:szCs w:val="22"/>
          <w:lang w:val="pl-PL"/>
        </w:rPr>
      </w:pPr>
      <w:r w:rsidRPr="005359CE">
        <w:rPr>
          <w:rStyle w:val="FootnoteReference"/>
          <w:szCs w:val="22"/>
        </w:rPr>
        <w:footnoteRef/>
      </w:r>
      <w:r w:rsidRPr="005359CE">
        <w:rPr>
          <w:sz w:val="22"/>
          <w:szCs w:val="22"/>
        </w:rPr>
        <w:t xml:space="preserve"> </w:t>
      </w:r>
      <w:r w:rsidR="00761D43" w:rsidRPr="005359CE">
        <w:rPr>
          <w:sz w:val="22"/>
          <w:szCs w:val="22"/>
        </w:rPr>
        <w:t xml:space="preserve">Display of food hygiene ratings in England, Northern Ireland and Wales. Report </w:t>
      </w:r>
      <w:r w:rsidR="00D12AF0" w:rsidRPr="005359CE">
        <w:rPr>
          <w:sz w:val="22"/>
          <w:szCs w:val="22"/>
        </w:rPr>
        <w:t>p</w:t>
      </w:r>
      <w:r w:rsidR="00761D43" w:rsidRPr="005359CE">
        <w:rPr>
          <w:sz w:val="22"/>
          <w:szCs w:val="22"/>
        </w:rPr>
        <w:t>repared for: Food Standards Agency</w:t>
      </w:r>
      <w:r w:rsidR="002D5003" w:rsidRPr="005359CE">
        <w:rPr>
          <w:sz w:val="22"/>
          <w:szCs w:val="22"/>
        </w:rPr>
        <w:t>,</w:t>
      </w:r>
      <w:r w:rsidR="00761D43" w:rsidRPr="005359CE">
        <w:rPr>
          <w:sz w:val="22"/>
          <w:szCs w:val="22"/>
        </w:rPr>
        <w:t xml:space="preserve"> Prepared by: BMG Research</w:t>
      </w:r>
      <w:r w:rsidR="00D12AF0" w:rsidRPr="005359CE">
        <w:rPr>
          <w:sz w:val="22"/>
          <w:szCs w:val="22"/>
        </w:rPr>
        <w:t xml:space="preserve">. </w:t>
      </w:r>
      <w:r w:rsidR="002D5003" w:rsidRPr="005359CE">
        <w:rPr>
          <w:sz w:val="22"/>
          <w:szCs w:val="22"/>
          <w:lang w:val="pl-PL"/>
        </w:rPr>
        <w:t xml:space="preserve">Dec 2019: </w:t>
      </w:r>
      <w:hyperlink r:id="rId11" w:history="1">
        <w:r w:rsidR="002D5003" w:rsidRPr="005359CE">
          <w:rPr>
            <w:rStyle w:val="Hyperlink"/>
            <w:sz w:val="22"/>
            <w:szCs w:val="22"/>
            <w:lang w:val="pl-PL"/>
          </w:rPr>
          <w:t>https://www.food.gov.uk/sites/default/files/media/document/display-of-food-hygiene-ratings-in-england-northern-ireland-and-wales.pdf</w:t>
        </w:r>
      </w:hyperlink>
      <w:r w:rsidR="002D5003" w:rsidRPr="005359CE">
        <w:rPr>
          <w:sz w:val="22"/>
          <w:szCs w:val="22"/>
          <w:lang w:val="pl-PL"/>
        </w:rPr>
        <w:t xml:space="preserve"> </w:t>
      </w:r>
    </w:p>
  </w:footnote>
  <w:footnote w:id="20">
    <w:p w14:paraId="16C9F28E" w14:textId="329AA376" w:rsidR="006F0D7D" w:rsidRPr="005359CE" w:rsidDel="00842500" w:rsidRDefault="006F0D7D" w:rsidP="00605F0B">
      <w:pPr>
        <w:pStyle w:val="FootnoteText"/>
        <w:rPr>
          <w:sz w:val="22"/>
          <w:szCs w:val="22"/>
        </w:rPr>
      </w:pPr>
      <w:r w:rsidRPr="005359CE" w:rsidDel="00842500">
        <w:rPr>
          <w:rStyle w:val="FootnoteReference"/>
          <w:szCs w:val="22"/>
        </w:rPr>
        <w:footnoteRef/>
      </w:r>
      <w:r w:rsidR="00605F0B" w:rsidRPr="005359CE">
        <w:rPr>
          <w:sz w:val="22"/>
          <w:szCs w:val="22"/>
        </w:rPr>
        <w:t xml:space="preserve"> ASHE (2021), table 14.6a</w:t>
      </w:r>
    </w:p>
  </w:footnote>
  <w:footnote w:id="21">
    <w:p w14:paraId="384C4977" w14:textId="181D3603" w:rsidR="00844042" w:rsidRPr="005359CE" w:rsidRDefault="00844042">
      <w:pPr>
        <w:pStyle w:val="FootnoteText"/>
        <w:rPr>
          <w:sz w:val="22"/>
          <w:szCs w:val="22"/>
          <w:lang w:val="pl-PL"/>
        </w:rPr>
      </w:pPr>
      <w:r w:rsidRPr="005359CE">
        <w:rPr>
          <w:rStyle w:val="FootnoteReference"/>
          <w:szCs w:val="22"/>
        </w:rPr>
        <w:footnoteRef/>
      </w:r>
      <w:r w:rsidRPr="005359CE">
        <w:rPr>
          <w:sz w:val="22"/>
          <w:szCs w:val="22"/>
        </w:rPr>
        <w:t xml:space="preserve"> Display of food hygiene ratings in England, Northern Ireland and Wales. Report prepared for: Food Standards Agency</w:t>
      </w:r>
      <w:r w:rsidR="004F66D9" w:rsidRPr="005359CE">
        <w:rPr>
          <w:sz w:val="22"/>
          <w:szCs w:val="22"/>
        </w:rPr>
        <w:t>,</w:t>
      </w:r>
      <w:r w:rsidRPr="005359CE">
        <w:rPr>
          <w:sz w:val="22"/>
          <w:szCs w:val="22"/>
        </w:rPr>
        <w:t xml:space="preserve"> Prepared by: BMG Research. </w:t>
      </w:r>
      <w:r w:rsidRPr="005359CE">
        <w:rPr>
          <w:sz w:val="22"/>
          <w:szCs w:val="22"/>
          <w:lang w:val="pl-PL"/>
        </w:rPr>
        <w:t>Dec 2019</w:t>
      </w:r>
      <w:r w:rsidR="00D72509" w:rsidRPr="005359CE">
        <w:rPr>
          <w:sz w:val="22"/>
          <w:szCs w:val="22"/>
          <w:lang w:val="pl-PL"/>
        </w:rPr>
        <w:t xml:space="preserve">: </w:t>
      </w:r>
      <w:hyperlink r:id="rId12" w:history="1">
        <w:r w:rsidR="00D72509" w:rsidRPr="005359CE">
          <w:rPr>
            <w:rStyle w:val="Hyperlink"/>
            <w:sz w:val="22"/>
            <w:szCs w:val="22"/>
            <w:lang w:val="pl-PL"/>
          </w:rPr>
          <w:t>https://www.food.gov.uk/sites/default/files/media/document/display-of-food-hygiene-ratings-in-england-northern-ireland-and-wales.pdf</w:t>
        </w:r>
      </w:hyperlink>
      <w:r w:rsidR="00D72509" w:rsidRPr="005359CE">
        <w:rPr>
          <w:sz w:val="22"/>
          <w:szCs w:val="22"/>
          <w:lang w:val="pl-PL"/>
        </w:rPr>
        <w:t xml:space="preserve"> </w:t>
      </w:r>
    </w:p>
  </w:footnote>
  <w:footnote w:id="22">
    <w:p w14:paraId="6A7BF745" w14:textId="40073B1E" w:rsidR="00773544" w:rsidRPr="00C80607" w:rsidRDefault="00773544">
      <w:pPr>
        <w:pStyle w:val="FootnoteText"/>
      </w:pPr>
      <w:r w:rsidRPr="005359CE">
        <w:rPr>
          <w:rStyle w:val="FootnoteReference"/>
          <w:szCs w:val="22"/>
        </w:rPr>
        <w:footnoteRef/>
      </w:r>
      <w:r w:rsidR="00D63CBE" w:rsidRPr="005359CE">
        <w:rPr>
          <w:sz w:val="22"/>
          <w:szCs w:val="22"/>
        </w:rPr>
        <w:t>An internal data analysis exercise</w:t>
      </w:r>
      <w:r w:rsidR="00CD5120" w:rsidRPr="005359CE">
        <w:rPr>
          <w:sz w:val="22"/>
          <w:szCs w:val="22"/>
        </w:rPr>
        <w:t xml:space="preserve"> using FHRS data</w:t>
      </w:r>
      <w:r w:rsidR="00D63CBE" w:rsidRPr="005359CE">
        <w:rPr>
          <w:sz w:val="22"/>
          <w:szCs w:val="22"/>
        </w:rPr>
        <w:t xml:space="preserve"> </w:t>
      </w:r>
      <w:r w:rsidR="00C80607" w:rsidRPr="005359CE">
        <w:rPr>
          <w:sz w:val="22"/>
          <w:szCs w:val="22"/>
        </w:rPr>
        <w:t xml:space="preserve">was collaborated on by </w:t>
      </w:r>
      <w:r w:rsidR="000A3BDD" w:rsidRPr="005359CE">
        <w:rPr>
          <w:sz w:val="22"/>
          <w:szCs w:val="22"/>
        </w:rPr>
        <w:t>e</w:t>
      </w:r>
      <w:r w:rsidR="00C80607" w:rsidRPr="005359CE">
        <w:rPr>
          <w:sz w:val="22"/>
          <w:szCs w:val="22"/>
        </w:rPr>
        <w:t xml:space="preserve">conomics and </w:t>
      </w:r>
      <w:r w:rsidR="000A3BDD" w:rsidRPr="005359CE">
        <w:rPr>
          <w:sz w:val="22"/>
          <w:szCs w:val="22"/>
        </w:rPr>
        <w:t>p</w:t>
      </w:r>
      <w:r w:rsidR="00C80607" w:rsidRPr="005359CE">
        <w:rPr>
          <w:sz w:val="22"/>
          <w:szCs w:val="22"/>
        </w:rPr>
        <w:t>olicy colleagues</w:t>
      </w:r>
      <w:r w:rsidR="00236421" w:rsidRPr="005359CE">
        <w:rPr>
          <w:sz w:val="22"/>
          <w:szCs w:val="22"/>
        </w:rPr>
        <w:t xml:space="preserve"> </w:t>
      </w:r>
      <w:r w:rsidR="00465A8D" w:rsidRPr="005359CE">
        <w:rPr>
          <w:sz w:val="22"/>
          <w:szCs w:val="22"/>
        </w:rPr>
        <w:t>to attempt to isolate</w:t>
      </w:r>
      <w:r w:rsidR="00902B7D" w:rsidRPr="005359CE">
        <w:rPr>
          <w:sz w:val="22"/>
          <w:szCs w:val="22"/>
        </w:rPr>
        <w:t xml:space="preserve"> social media </w:t>
      </w:r>
      <w:r w:rsidR="005600AA" w:rsidRPr="005359CE">
        <w:rPr>
          <w:sz w:val="22"/>
          <w:szCs w:val="22"/>
        </w:rPr>
        <w:t>ordering and aggregator</w:t>
      </w:r>
      <w:r w:rsidR="00437631" w:rsidRPr="005359CE">
        <w:rPr>
          <w:sz w:val="22"/>
          <w:szCs w:val="22"/>
        </w:rPr>
        <w:t xml:space="preserve"> use</w:t>
      </w:r>
      <w:r w:rsidR="000E3185" w:rsidRPr="005359CE">
        <w:rPr>
          <w:sz w:val="22"/>
          <w:szCs w:val="22"/>
        </w:rPr>
        <w:t xml:space="preserve"> from the broader </w:t>
      </w:r>
      <w:r w:rsidR="00982625" w:rsidRPr="005359CE">
        <w:rPr>
          <w:sz w:val="22"/>
          <w:szCs w:val="22"/>
        </w:rPr>
        <w:t>online presence data</w:t>
      </w:r>
      <w:r w:rsidR="00213BBF" w:rsidRPr="005359CE">
        <w:rPr>
          <w:sz w:val="22"/>
          <w:szCs w:val="22"/>
        </w:rPr>
        <w:t xml:space="preserve"> </w:t>
      </w:r>
      <w:r w:rsidR="005F672A" w:rsidRPr="005359CE">
        <w:rPr>
          <w:sz w:val="22"/>
          <w:szCs w:val="22"/>
        </w:rPr>
        <w:t>already</w:t>
      </w:r>
      <w:r w:rsidR="00982625" w:rsidRPr="005359CE">
        <w:rPr>
          <w:sz w:val="22"/>
          <w:szCs w:val="22"/>
        </w:rPr>
        <w:t xml:space="preserve"> available</w:t>
      </w:r>
      <w:r w:rsidR="00B07B3F" w:rsidRPr="005359CE">
        <w:rPr>
          <w:sz w:val="22"/>
          <w:szCs w:val="22"/>
        </w:rPr>
        <w:t>. The</w:t>
      </w:r>
      <w:r w:rsidR="004D5D7B" w:rsidRPr="005359CE">
        <w:rPr>
          <w:sz w:val="22"/>
          <w:szCs w:val="22"/>
        </w:rPr>
        <w:t xml:space="preserve"> methodology and</w:t>
      </w:r>
      <w:r w:rsidR="00B07B3F" w:rsidRPr="005359CE">
        <w:rPr>
          <w:sz w:val="22"/>
          <w:szCs w:val="22"/>
        </w:rPr>
        <w:t xml:space="preserve"> findings of this analysis</w:t>
      </w:r>
      <w:r w:rsidR="004D5D7B" w:rsidRPr="005359CE">
        <w:rPr>
          <w:sz w:val="22"/>
          <w:szCs w:val="22"/>
        </w:rPr>
        <w:t>,</w:t>
      </w:r>
      <w:r w:rsidR="00B07B3F" w:rsidRPr="005359CE">
        <w:rPr>
          <w:sz w:val="22"/>
          <w:szCs w:val="22"/>
        </w:rPr>
        <w:t xml:space="preserve"> and how these were incorporated into the </w:t>
      </w:r>
      <w:r w:rsidR="00597A83" w:rsidRPr="005359CE">
        <w:rPr>
          <w:sz w:val="22"/>
          <w:szCs w:val="22"/>
        </w:rPr>
        <w:t>impact assessment</w:t>
      </w:r>
      <w:r w:rsidR="004D5D7B" w:rsidRPr="005359CE">
        <w:rPr>
          <w:sz w:val="22"/>
          <w:szCs w:val="22"/>
        </w:rPr>
        <w:t xml:space="preserve"> itself,</w:t>
      </w:r>
      <w:r w:rsidR="00B07B3F" w:rsidRPr="005359CE">
        <w:rPr>
          <w:sz w:val="22"/>
          <w:szCs w:val="22"/>
        </w:rPr>
        <w:t xml:space="preserve"> are outline</w:t>
      </w:r>
      <w:r w:rsidR="00896D48" w:rsidRPr="005359CE">
        <w:rPr>
          <w:sz w:val="22"/>
          <w:szCs w:val="22"/>
        </w:rPr>
        <w:t>d later in this section</w:t>
      </w:r>
      <w:r w:rsidR="00392590" w:rsidRPr="005359CE">
        <w:rPr>
          <w:sz w:val="22"/>
          <w:szCs w:val="22"/>
        </w:rPr>
        <w:t xml:space="preserve"> of the Evidence Base</w:t>
      </w:r>
      <w:r w:rsidR="00236421">
        <w:t xml:space="preserve"> </w:t>
      </w:r>
      <w:r w:rsidR="00C80607">
        <w:t xml:space="preserve"> </w:t>
      </w:r>
      <w:r w:rsidR="00780C2D" w:rsidRPr="00C80607">
        <w:t xml:space="preserve"> </w:t>
      </w:r>
    </w:p>
  </w:footnote>
  <w:footnote w:id="23">
    <w:p w14:paraId="6A17DFC7" w14:textId="0CD70ED6" w:rsidR="00955EF2" w:rsidRPr="005359CE" w:rsidRDefault="00955EF2">
      <w:pPr>
        <w:pStyle w:val="FootnoteText"/>
        <w:rPr>
          <w:sz w:val="24"/>
          <w:szCs w:val="24"/>
        </w:rPr>
      </w:pPr>
      <w:r w:rsidRPr="005359CE">
        <w:rPr>
          <w:rStyle w:val="FootnoteReference"/>
          <w:sz w:val="24"/>
          <w:szCs w:val="24"/>
        </w:rPr>
        <w:footnoteRef/>
      </w:r>
      <w:r w:rsidRPr="005359CE">
        <w:rPr>
          <w:sz w:val="24"/>
          <w:szCs w:val="24"/>
        </w:rPr>
        <w:t xml:space="preserve"> </w:t>
      </w:r>
      <w:hyperlink r:id="rId13" w:history="1">
        <w:r w:rsidRPr="005359CE">
          <w:rPr>
            <w:rStyle w:val="Hyperlink"/>
            <w:sz w:val="24"/>
            <w:szCs w:val="24"/>
          </w:rPr>
          <w:t>Food and You</w:t>
        </w:r>
        <w:r w:rsidR="006B1F01" w:rsidRPr="005359CE">
          <w:rPr>
            <w:rStyle w:val="Hyperlink"/>
            <w:sz w:val="24"/>
            <w:szCs w:val="24"/>
          </w:rPr>
          <w:t xml:space="preserve"> 2: Key Findings. FSA</w:t>
        </w:r>
        <w:r w:rsidR="004A6108" w:rsidRPr="005359CE">
          <w:rPr>
            <w:rStyle w:val="Hyperlink"/>
            <w:sz w:val="24"/>
            <w:szCs w:val="24"/>
          </w:rPr>
          <w:t>. January 2022</w:t>
        </w:r>
      </w:hyperlink>
    </w:p>
  </w:footnote>
  <w:footnote w:id="24">
    <w:p w14:paraId="76210A9B" w14:textId="622E5508" w:rsidR="00C843FD" w:rsidRPr="005359CE" w:rsidRDefault="00C843FD">
      <w:pPr>
        <w:pStyle w:val="FootnoteText"/>
        <w:rPr>
          <w:sz w:val="22"/>
          <w:szCs w:val="22"/>
        </w:rPr>
      </w:pPr>
      <w:r w:rsidRPr="005359CE">
        <w:rPr>
          <w:rStyle w:val="FootnoteReference"/>
          <w:szCs w:val="22"/>
        </w:rPr>
        <w:footnoteRef/>
      </w:r>
      <w:r w:rsidRPr="005359CE">
        <w:rPr>
          <w:sz w:val="22"/>
          <w:szCs w:val="22"/>
        </w:rPr>
        <w:t xml:space="preserve"> </w:t>
      </w:r>
      <w:r w:rsidR="007705F9" w:rsidRPr="005359CE">
        <w:rPr>
          <w:sz w:val="22"/>
          <w:szCs w:val="22"/>
        </w:rPr>
        <w:t>In this and all subsequent summary tables, the ‘Total One-Off’</w:t>
      </w:r>
      <w:r w:rsidR="0045771A" w:rsidRPr="005359CE">
        <w:rPr>
          <w:sz w:val="22"/>
          <w:szCs w:val="22"/>
        </w:rPr>
        <w:t>, ‘Total Recurring’ and ‘Total’ columns display nominal figures, while the ‘PV (2023 Base Year)’ column displays a discounted tot</w:t>
      </w:r>
      <w:r w:rsidR="003F404B" w:rsidRPr="005359CE">
        <w:rPr>
          <w:sz w:val="22"/>
          <w:szCs w:val="22"/>
        </w:rPr>
        <w:t>al</w:t>
      </w:r>
      <w:r w:rsidR="004F35F9" w:rsidRPr="005359CE">
        <w:rPr>
          <w:sz w:val="22"/>
          <w:szCs w:val="22"/>
        </w:rPr>
        <w:t>, and the ‘Annual Equivalent’ column</w:t>
      </w:r>
      <w:r w:rsidR="00300B5C" w:rsidRPr="005359CE">
        <w:rPr>
          <w:sz w:val="22"/>
          <w:szCs w:val="22"/>
        </w:rPr>
        <w:t xml:space="preserve"> an annualised </w:t>
      </w:r>
      <w:r w:rsidR="00D146B3" w:rsidRPr="005359CE">
        <w:rPr>
          <w:sz w:val="22"/>
          <w:szCs w:val="22"/>
        </w:rPr>
        <w:t xml:space="preserve">total </w:t>
      </w:r>
      <w:r w:rsidR="001D3A74" w:rsidRPr="005359CE">
        <w:rPr>
          <w:sz w:val="22"/>
          <w:szCs w:val="22"/>
        </w:rPr>
        <w:t xml:space="preserve">providing an adjusted annual </w:t>
      </w:r>
      <w:r w:rsidR="005F2A2C" w:rsidRPr="005359CE">
        <w:rPr>
          <w:sz w:val="22"/>
          <w:szCs w:val="22"/>
        </w:rPr>
        <w:t>cost</w:t>
      </w:r>
    </w:p>
  </w:footnote>
  <w:footnote w:id="25">
    <w:p w14:paraId="023D6425" w14:textId="292280A8" w:rsidR="00C454B0" w:rsidRPr="005359CE" w:rsidRDefault="00C454B0">
      <w:pPr>
        <w:pStyle w:val="FootnoteText"/>
        <w:rPr>
          <w:sz w:val="22"/>
          <w:szCs w:val="22"/>
        </w:rPr>
      </w:pPr>
      <w:r w:rsidRPr="005359CE">
        <w:rPr>
          <w:rStyle w:val="FootnoteReference"/>
          <w:szCs w:val="22"/>
        </w:rPr>
        <w:footnoteRef/>
      </w:r>
      <w:r w:rsidRPr="005359CE">
        <w:rPr>
          <w:sz w:val="22"/>
          <w:szCs w:val="22"/>
        </w:rPr>
        <w:t xml:space="preserve"> Familiarisation costs are non-zero as outlined earlier in the Evidence Base</w:t>
      </w:r>
    </w:p>
  </w:footnote>
  <w:footnote w:id="26">
    <w:p w14:paraId="1EFC3791" w14:textId="4B982B79" w:rsidR="005224BA" w:rsidRDefault="005224BA">
      <w:pPr>
        <w:pStyle w:val="FootnoteText"/>
      </w:pPr>
      <w:r>
        <w:rPr>
          <w:rStyle w:val="FootnoteReference"/>
        </w:rPr>
        <w:footnoteRef/>
      </w:r>
      <w:r>
        <w:t xml:space="preserve"> </w:t>
      </w:r>
      <w:r w:rsidRPr="006A0631">
        <w:rPr>
          <w:sz w:val="22"/>
          <w:szCs w:val="22"/>
        </w:rPr>
        <w:t>Additional monitoring costs are non-zero as outlined earlier in the Evidence Base</w:t>
      </w:r>
    </w:p>
  </w:footnote>
  <w:footnote w:id="27">
    <w:p w14:paraId="2C890488" w14:textId="0798B75B" w:rsidR="009128AB" w:rsidRPr="005359CE" w:rsidRDefault="009128AB">
      <w:pPr>
        <w:pStyle w:val="FootnoteText"/>
        <w:rPr>
          <w:sz w:val="22"/>
          <w:szCs w:val="22"/>
        </w:rPr>
      </w:pPr>
      <w:r w:rsidRPr="005359CE">
        <w:rPr>
          <w:rStyle w:val="FootnoteReference"/>
          <w:szCs w:val="22"/>
        </w:rPr>
        <w:footnoteRef/>
      </w:r>
      <w:r w:rsidRPr="005359CE">
        <w:rPr>
          <w:sz w:val="22"/>
          <w:szCs w:val="22"/>
        </w:rPr>
        <w:t xml:space="preserve"> For this and all subsequent summary tables: totals</w:t>
      </w:r>
      <w:r w:rsidR="003227FF" w:rsidRPr="005359CE">
        <w:rPr>
          <w:sz w:val="22"/>
          <w:szCs w:val="22"/>
        </w:rPr>
        <w:t xml:space="preserve"> or net outputs</w:t>
      </w:r>
      <w:r w:rsidRPr="005359CE">
        <w:rPr>
          <w:sz w:val="22"/>
          <w:szCs w:val="22"/>
        </w:rPr>
        <w:t xml:space="preserve"> and </w:t>
      </w:r>
      <w:r w:rsidR="00AA176F" w:rsidRPr="005359CE">
        <w:rPr>
          <w:sz w:val="22"/>
          <w:szCs w:val="22"/>
        </w:rPr>
        <w:t>the sum of individual entries may not</w:t>
      </w:r>
      <w:r w:rsidR="00864E6C" w:rsidRPr="005359CE">
        <w:rPr>
          <w:sz w:val="22"/>
          <w:szCs w:val="22"/>
        </w:rPr>
        <w:t xml:space="preserve"> always</w:t>
      </w:r>
      <w:r w:rsidR="00AA176F" w:rsidRPr="005359CE">
        <w:rPr>
          <w:sz w:val="22"/>
          <w:szCs w:val="22"/>
        </w:rPr>
        <w:t xml:space="preserve"> perfectly match</w:t>
      </w:r>
      <w:r w:rsidR="00951765" w:rsidRPr="005359CE">
        <w:rPr>
          <w:sz w:val="22"/>
          <w:szCs w:val="22"/>
        </w:rPr>
        <w:t>. This is due to rounding</w:t>
      </w:r>
      <w:r w:rsidR="00646F51" w:rsidRPr="005359CE">
        <w:rPr>
          <w:sz w:val="22"/>
          <w:szCs w:val="22"/>
        </w:rPr>
        <w:t xml:space="preserve">; </w:t>
      </w:r>
      <w:r w:rsidR="005D011D" w:rsidRPr="005359CE">
        <w:rPr>
          <w:sz w:val="22"/>
          <w:szCs w:val="22"/>
        </w:rPr>
        <w:t xml:space="preserve">the underlying figures have been verified and </w:t>
      </w:r>
      <w:r w:rsidR="00646F51" w:rsidRPr="005359CE">
        <w:rPr>
          <w:sz w:val="22"/>
          <w:szCs w:val="22"/>
        </w:rPr>
        <w:t>reconcile as required</w:t>
      </w:r>
      <w:r w:rsidR="00951765" w:rsidRPr="005359CE">
        <w:rPr>
          <w:sz w:val="22"/>
          <w:szCs w:val="22"/>
        </w:rPr>
        <w:t xml:space="preserve"> </w:t>
      </w:r>
    </w:p>
  </w:footnote>
  <w:footnote w:id="28">
    <w:p w14:paraId="2FE9BC87" w14:textId="0BF0013B" w:rsidR="006D1CB9" w:rsidRPr="005359CE" w:rsidRDefault="006D1CB9">
      <w:pPr>
        <w:pStyle w:val="FootnoteText"/>
        <w:rPr>
          <w:sz w:val="22"/>
          <w:szCs w:val="22"/>
        </w:rPr>
      </w:pPr>
      <w:r w:rsidRPr="005359CE">
        <w:rPr>
          <w:rStyle w:val="FootnoteReference"/>
          <w:szCs w:val="22"/>
        </w:rPr>
        <w:footnoteRef/>
      </w:r>
      <w:r w:rsidRPr="005359CE">
        <w:rPr>
          <w:sz w:val="22"/>
          <w:szCs w:val="22"/>
        </w:rPr>
        <w:t xml:space="preserve"> Additional enquiries costs are non-zero as outlined earlier in the Evidence Base</w:t>
      </w:r>
    </w:p>
  </w:footnote>
  <w:footnote w:id="29">
    <w:p w14:paraId="71D53C86" w14:textId="54780E6F" w:rsidR="006D1CB9" w:rsidRDefault="006D1CB9">
      <w:pPr>
        <w:pStyle w:val="FootnoteText"/>
      </w:pPr>
      <w:r w:rsidRPr="005359CE">
        <w:rPr>
          <w:rStyle w:val="FootnoteReference"/>
          <w:szCs w:val="22"/>
        </w:rPr>
        <w:footnoteRef/>
      </w:r>
      <w:r w:rsidRPr="005359CE">
        <w:rPr>
          <w:sz w:val="22"/>
          <w:szCs w:val="22"/>
        </w:rPr>
        <w:t xml:space="preserve"> Re-rating costs are non-zero as outlined earlier in the Evidence Base</w:t>
      </w:r>
    </w:p>
  </w:footnote>
  <w:footnote w:id="30">
    <w:p w14:paraId="64177177" w14:textId="77777777" w:rsidR="009373AE" w:rsidRPr="004302BC" w:rsidRDefault="009373AE" w:rsidP="009373AE">
      <w:pPr>
        <w:pStyle w:val="FootnoteText"/>
        <w:rPr>
          <w:sz w:val="22"/>
          <w:szCs w:val="22"/>
        </w:rPr>
      </w:pPr>
      <w:r w:rsidRPr="004302BC">
        <w:rPr>
          <w:rStyle w:val="FootnoteReference"/>
          <w:szCs w:val="22"/>
        </w:rPr>
        <w:footnoteRef/>
      </w:r>
      <w:r w:rsidRPr="004302BC">
        <w:rPr>
          <w:sz w:val="22"/>
          <w:szCs w:val="22"/>
        </w:rPr>
        <w:t xml:space="preserve"> Northern Ireland Assembly. Committee for Health, Social Services and Public Safety. Official Report (HANSARD) Food Hygiene Rating Bill: Food Standards Agency NI. 26 November 2014</w:t>
      </w:r>
    </w:p>
  </w:footnote>
  <w:footnote w:id="31">
    <w:p w14:paraId="429972FE" w14:textId="77777777" w:rsidR="008173FA" w:rsidRDefault="008173FA" w:rsidP="008173FA">
      <w:pPr>
        <w:pStyle w:val="FootnoteText"/>
      </w:pPr>
      <w:r w:rsidRPr="004302BC">
        <w:rPr>
          <w:rStyle w:val="FootnoteReference"/>
          <w:szCs w:val="22"/>
        </w:rPr>
        <w:footnoteRef/>
      </w:r>
      <w:r w:rsidRPr="004302BC">
        <w:rPr>
          <w:sz w:val="22"/>
          <w:szCs w:val="22"/>
        </w:rPr>
        <w:t xml:space="preserve"> https://www.food.gov.uk/sites/default/files/media/document/Chief-Scientific-Adviser-report-on-FHRS.pdf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A5E"/>
    <w:multiLevelType w:val="hybridMultilevel"/>
    <w:tmpl w:val="D4A2E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D0A1D"/>
    <w:multiLevelType w:val="hybridMultilevel"/>
    <w:tmpl w:val="5866D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3BD66AD"/>
    <w:multiLevelType w:val="multilevel"/>
    <w:tmpl w:val="871CC05C"/>
    <w:lvl w:ilvl="0">
      <w:start w:val="1"/>
      <w:numFmt w:val="decimal"/>
      <w:lvlText w:val="%1."/>
      <w:lvlJc w:val="left"/>
      <w:pPr>
        <w:ind w:left="360" w:hanging="360"/>
      </w:pPr>
      <w:rPr>
        <w:b/>
        <w:bCs/>
        <w:sz w:val="28"/>
        <w:szCs w:val="28"/>
      </w:rPr>
    </w:lvl>
    <w:lvl w:ilvl="1">
      <w:start w:val="1"/>
      <w:numFmt w:val="decimal"/>
      <w:lvlText w:val="%1.%2."/>
      <w:lvlJc w:val="left"/>
      <w:pPr>
        <w:ind w:left="1141" w:hanging="432"/>
      </w:pPr>
      <w:rPr>
        <w:b w:val="0"/>
        <w:bCs/>
      </w:rPr>
    </w:lvl>
    <w:lvl w:ilvl="2">
      <w:start w:val="1"/>
      <w:numFmt w:val="decimal"/>
      <w:lvlText w:val="%1.%2.%3."/>
      <w:lvlJc w:val="left"/>
      <w:pPr>
        <w:ind w:left="1071"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D31F53"/>
    <w:multiLevelType w:val="multilevel"/>
    <w:tmpl w:val="CCC8CBCA"/>
    <w:lvl w:ilvl="0">
      <w:start w:val="1"/>
      <w:numFmt w:val="decimal"/>
      <w:lvlText w:val="%1."/>
      <w:lvlJc w:val="left"/>
      <w:pPr>
        <w:tabs>
          <w:tab w:val="num" w:pos="1135"/>
        </w:tabs>
        <w:ind w:left="1135" w:hanging="567"/>
      </w:pPr>
      <w:rPr>
        <w:b w:val="0"/>
        <w:i w:val="0"/>
        <w:color w:val="000000"/>
      </w:rPr>
    </w:lvl>
    <w:lvl w:ilvl="1">
      <w:start w:val="1"/>
      <w:numFmt w:val="decimal"/>
      <w:lvlText w:val="%2."/>
      <w:lvlJc w:val="left"/>
      <w:pPr>
        <w:tabs>
          <w:tab w:val="num" w:pos="567"/>
        </w:tabs>
        <w:ind w:left="567" w:hanging="567"/>
      </w:pPr>
      <w:rPr>
        <w:rFonts w:ascii="Arial" w:hAnsi="Arial" w:cs="Arial" w:hint="default"/>
        <w:b w:val="0"/>
        <w:bCs w:val="0"/>
        <w:i w:val="0"/>
        <w:iCs w:val="0"/>
        <w:caps w:val="0"/>
        <w:smallCaps w:val="0"/>
        <w:strike w:val="0"/>
        <w:dstrike w:val="0"/>
        <w:noProof w:val="0"/>
        <w:vanish w:val="0"/>
        <w:webHidden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007"/>
        </w:tabs>
        <w:ind w:left="2007" w:hanging="720"/>
      </w:pPr>
      <w:rPr>
        <w:rFonts w:ascii="Wingdings" w:hAnsi="Wingdings" w:hint="default"/>
      </w:rPr>
    </w:lvl>
    <w:lvl w:ilvl="3">
      <w:start w:val="1"/>
      <w:numFmt w:val="decimal"/>
      <w:lvlText w:val="%1.%2.%3.%4"/>
      <w:lvlJc w:val="left"/>
      <w:pPr>
        <w:tabs>
          <w:tab w:val="num" w:pos="2151"/>
        </w:tabs>
        <w:ind w:left="2151" w:hanging="864"/>
      </w:pPr>
    </w:lvl>
    <w:lvl w:ilvl="4">
      <w:start w:val="1"/>
      <w:numFmt w:val="decimal"/>
      <w:lvlText w:val="%1.%2.%3.%4.%5"/>
      <w:lvlJc w:val="left"/>
      <w:pPr>
        <w:tabs>
          <w:tab w:val="num" w:pos="2295"/>
        </w:tabs>
        <w:ind w:left="2295" w:hanging="1008"/>
      </w:pPr>
    </w:lvl>
    <w:lvl w:ilvl="5">
      <w:start w:val="1"/>
      <w:numFmt w:val="decimal"/>
      <w:lvlText w:val="%1.%2.%3.%4.%5.%6"/>
      <w:lvlJc w:val="left"/>
      <w:pPr>
        <w:tabs>
          <w:tab w:val="num" w:pos="2439"/>
        </w:tabs>
        <w:ind w:left="2439" w:hanging="1152"/>
      </w:pPr>
    </w:lvl>
    <w:lvl w:ilvl="6">
      <w:start w:val="1"/>
      <w:numFmt w:val="decimal"/>
      <w:lvlText w:val="%1.%2.%3.%4.%5.%6.%7"/>
      <w:lvlJc w:val="left"/>
      <w:pPr>
        <w:tabs>
          <w:tab w:val="num" w:pos="2583"/>
        </w:tabs>
        <w:ind w:left="2583" w:hanging="1296"/>
      </w:pPr>
    </w:lvl>
    <w:lvl w:ilvl="7">
      <w:start w:val="1"/>
      <w:numFmt w:val="decimal"/>
      <w:lvlText w:val="%1.%2.%3.%4.%5.%6.%7.%8"/>
      <w:lvlJc w:val="left"/>
      <w:pPr>
        <w:tabs>
          <w:tab w:val="num" w:pos="2727"/>
        </w:tabs>
        <w:ind w:left="2727" w:hanging="1440"/>
      </w:pPr>
    </w:lvl>
    <w:lvl w:ilvl="8">
      <w:start w:val="1"/>
      <w:numFmt w:val="decimal"/>
      <w:lvlText w:val="%1.%2.%3.%4.%5.%6.%7.%8.%9"/>
      <w:lvlJc w:val="left"/>
      <w:pPr>
        <w:tabs>
          <w:tab w:val="num" w:pos="2871"/>
        </w:tabs>
        <w:ind w:left="2871" w:hanging="1584"/>
      </w:pPr>
    </w:lvl>
  </w:abstractNum>
  <w:abstractNum w:abstractNumId="4" w15:restartNumberingAfterBreak="0">
    <w:nsid w:val="20767599"/>
    <w:multiLevelType w:val="hybridMultilevel"/>
    <w:tmpl w:val="69042144"/>
    <w:lvl w:ilvl="0" w:tplc="725CAC6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101D3D"/>
    <w:multiLevelType w:val="hybridMultilevel"/>
    <w:tmpl w:val="B624F2CC"/>
    <w:lvl w:ilvl="0" w:tplc="388CAF58">
      <w:start w:val="1"/>
      <w:numFmt w:val="decimal"/>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12E2D"/>
    <w:multiLevelType w:val="hybridMultilevel"/>
    <w:tmpl w:val="67C8DC62"/>
    <w:lvl w:ilvl="0" w:tplc="725CAC6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B67E48"/>
    <w:multiLevelType w:val="hybridMultilevel"/>
    <w:tmpl w:val="CF440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F606F7"/>
    <w:multiLevelType w:val="hybridMultilevel"/>
    <w:tmpl w:val="D5F22FB0"/>
    <w:lvl w:ilvl="0" w:tplc="08090001">
      <w:start w:val="1"/>
      <w:numFmt w:val="bullet"/>
      <w:lvlText w:val=""/>
      <w:lvlJc w:val="left"/>
      <w:pPr>
        <w:ind w:left="1006" w:hanging="360"/>
      </w:pPr>
      <w:rPr>
        <w:rFonts w:ascii="Symbol" w:hAnsi="Symbol" w:hint="default"/>
      </w:rPr>
    </w:lvl>
    <w:lvl w:ilvl="1" w:tplc="08090003" w:tentative="1">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9" w15:restartNumberingAfterBreak="0">
    <w:nsid w:val="33F91244"/>
    <w:multiLevelType w:val="hybridMultilevel"/>
    <w:tmpl w:val="D372618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5F3A71"/>
    <w:multiLevelType w:val="hybridMultilevel"/>
    <w:tmpl w:val="8B12C1A2"/>
    <w:lvl w:ilvl="0" w:tplc="FFFFFFFF">
      <w:start w:val="1"/>
      <w:numFmt w:val="decimal"/>
      <w:lvlText w:val="%1."/>
      <w:lvlJc w:val="left"/>
      <w:pPr>
        <w:ind w:left="720" w:hanging="360"/>
      </w:pPr>
      <w:rPr>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7F307F"/>
    <w:multiLevelType w:val="hybridMultilevel"/>
    <w:tmpl w:val="8696A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D22660"/>
    <w:multiLevelType w:val="hybridMultilevel"/>
    <w:tmpl w:val="C728FDC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43055CD3"/>
    <w:multiLevelType w:val="hybridMultilevel"/>
    <w:tmpl w:val="E6FC036C"/>
    <w:lvl w:ilvl="0" w:tplc="FFFFFFFF">
      <w:start w:val="1"/>
      <w:numFmt w:val="decimal"/>
      <w:lvlText w:val="%1."/>
      <w:lvlJc w:val="left"/>
      <w:pPr>
        <w:ind w:left="720" w:hanging="360"/>
      </w:pPr>
      <w:rPr>
        <w:b w:val="0"/>
        <w:bCs/>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27A31"/>
    <w:multiLevelType w:val="hybridMultilevel"/>
    <w:tmpl w:val="D64CC528"/>
    <w:lvl w:ilvl="0" w:tplc="725CAC6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62250"/>
    <w:multiLevelType w:val="hybridMultilevel"/>
    <w:tmpl w:val="FFC252B8"/>
    <w:lvl w:ilvl="0" w:tplc="725CAC6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D569A"/>
    <w:multiLevelType w:val="hybridMultilevel"/>
    <w:tmpl w:val="32903FA6"/>
    <w:lvl w:ilvl="0" w:tplc="725CAC6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904E0"/>
    <w:multiLevelType w:val="hybridMultilevel"/>
    <w:tmpl w:val="4D08A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97A6F"/>
    <w:multiLevelType w:val="hybridMultilevel"/>
    <w:tmpl w:val="9702AAF8"/>
    <w:lvl w:ilvl="0" w:tplc="A84E3686">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6A31CE"/>
    <w:multiLevelType w:val="hybridMultilevel"/>
    <w:tmpl w:val="D5861CC8"/>
    <w:lvl w:ilvl="0" w:tplc="8F48271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AE3F80"/>
    <w:multiLevelType w:val="hybridMultilevel"/>
    <w:tmpl w:val="C382F35E"/>
    <w:lvl w:ilvl="0" w:tplc="388CAF58">
      <w:start w:val="1"/>
      <w:numFmt w:val="decimal"/>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8C6602"/>
    <w:multiLevelType w:val="hybridMultilevel"/>
    <w:tmpl w:val="719847F8"/>
    <w:lvl w:ilvl="0" w:tplc="725CAC6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526C8"/>
    <w:multiLevelType w:val="hybridMultilevel"/>
    <w:tmpl w:val="07B2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D12934"/>
    <w:multiLevelType w:val="hybridMultilevel"/>
    <w:tmpl w:val="EBA6DD20"/>
    <w:lvl w:ilvl="0" w:tplc="725CAC6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6F3C3F"/>
    <w:multiLevelType w:val="hybridMultilevel"/>
    <w:tmpl w:val="E9002AA4"/>
    <w:lvl w:ilvl="0" w:tplc="8F7896D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C2498"/>
    <w:multiLevelType w:val="hybridMultilevel"/>
    <w:tmpl w:val="437A1B54"/>
    <w:lvl w:ilvl="0" w:tplc="725CAC6A">
      <w:start w:val="1"/>
      <w:numFmt w:val="decimal"/>
      <w:lvlText w:val="%1."/>
      <w:lvlJc w:val="lef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A72886"/>
    <w:multiLevelType w:val="hybridMultilevel"/>
    <w:tmpl w:val="99C6D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8E362F"/>
    <w:multiLevelType w:val="hybridMultilevel"/>
    <w:tmpl w:val="D338948C"/>
    <w:lvl w:ilvl="0" w:tplc="FFFFFFFF">
      <w:start w:val="1"/>
      <w:numFmt w:val="decimal"/>
      <w:lvlText w:val="%1."/>
      <w:lvlJc w:val="left"/>
      <w:pPr>
        <w:ind w:left="720" w:hanging="360"/>
      </w:pPr>
      <w:rPr>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AD4563"/>
    <w:multiLevelType w:val="hybridMultilevel"/>
    <w:tmpl w:val="2F147A1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7D8942A6"/>
    <w:multiLevelType w:val="hybridMultilevel"/>
    <w:tmpl w:val="B888C2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50819369">
    <w:abstractNumId w:val="24"/>
  </w:num>
  <w:num w:numId="2" w16cid:durableId="440760642">
    <w:abstractNumId w:val="2"/>
  </w:num>
  <w:num w:numId="3" w16cid:durableId="739984523">
    <w:abstractNumId w:val="8"/>
  </w:num>
  <w:num w:numId="4" w16cid:durableId="1052576754">
    <w:abstractNumId w:val="12"/>
  </w:num>
  <w:num w:numId="5" w16cid:durableId="68767975">
    <w:abstractNumId w:val="28"/>
  </w:num>
  <w:num w:numId="6" w16cid:durableId="1994412060">
    <w:abstractNumId w:val="1"/>
  </w:num>
  <w:num w:numId="7" w16cid:durableId="192497067">
    <w:abstractNumId w:val="13"/>
  </w:num>
  <w:num w:numId="8" w16cid:durableId="1692142841">
    <w:abstractNumId w:val="22"/>
  </w:num>
  <w:num w:numId="9" w16cid:durableId="1593977833">
    <w:abstractNumId w:val="17"/>
  </w:num>
  <w:num w:numId="10" w16cid:durableId="1159155628">
    <w:abstractNumId w:val="19"/>
  </w:num>
  <w:num w:numId="11" w16cid:durableId="1127746433">
    <w:abstractNumId w:val="9"/>
  </w:num>
  <w:num w:numId="12" w16cid:durableId="1927304898">
    <w:abstractNumId w:val="6"/>
  </w:num>
  <w:num w:numId="13" w16cid:durableId="659893838">
    <w:abstractNumId w:val="4"/>
  </w:num>
  <w:num w:numId="14" w16cid:durableId="778111662">
    <w:abstractNumId w:val="21"/>
  </w:num>
  <w:num w:numId="15" w16cid:durableId="1778720265">
    <w:abstractNumId w:val="16"/>
  </w:num>
  <w:num w:numId="16" w16cid:durableId="1816296025">
    <w:abstractNumId w:val="14"/>
  </w:num>
  <w:num w:numId="17" w16cid:durableId="105006041">
    <w:abstractNumId w:val="11"/>
  </w:num>
  <w:num w:numId="18" w16cid:durableId="520585058">
    <w:abstractNumId w:val="26"/>
  </w:num>
  <w:num w:numId="19" w16cid:durableId="495726743">
    <w:abstractNumId w:val="23"/>
  </w:num>
  <w:num w:numId="20" w16cid:durableId="1228148479">
    <w:abstractNumId w:val="25"/>
  </w:num>
  <w:num w:numId="21" w16cid:durableId="1836609419">
    <w:abstractNumId w:val="15"/>
  </w:num>
  <w:num w:numId="22" w16cid:durableId="1849952093">
    <w:abstractNumId w:val="5"/>
  </w:num>
  <w:num w:numId="23" w16cid:durableId="779304322">
    <w:abstractNumId w:val="20"/>
  </w:num>
  <w:num w:numId="24" w16cid:durableId="1979407523">
    <w:abstractNumId w:val="18"/>
  </w:num>
  <w:num w:numId="25" w16cid:durableId="724380441">
    <w:abstractNumId w:val="3"/>
  </w:num>
  <w:num w:numId="26" w16cid:durableId="538397640">
    <w:abstractNumId w:val="29"/>
  </w:num>
  <w:num w:numId="27" w16cid:durableId="1802576895">
    <w:abstractNumId w:val="0"/>
  </w:num>
  <w:num w:numId="28" w16cid:durableId="442237216">
    <w:abstractNumId w:val="7"/>
  </w:num>
  <w:num w:numId="29" w16cid:durableId="1322663907">
    <w:abstractNumId w:val="27"/>
  </w:num>
  <w:num w:numId="30" w16cid:durableId="1296640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F0"/>
    <w:rsid w:val="00000054"/>
    <w:rsid w:val="00000221"/>
    <w:rsid w:val="00000291"/>
    <w:rsid w:val="00000FFD"/>
    <w:rsid w:val="00001A39"/>
    <w:rsid w:val="00001E22"/>
    <w:rsid w:val="00001E7E"/>
    <w:rsid w:val="00001EA3"/>
    <w:rsid w:val="000024C7"/>
    <w:rsid w:val="00002762"/>
    <w:rsid w:val="00002A49"/>
    <w:rsid w:val="00002A70"/>
    <w:rsid w:val="00002CE7"/>
    <w:rsid w:val="00002EDB"/>
    <w:rsid w:val="00002F5C"/>
    <w:rsid w:val="0000317C"/>
    <w:rsid w:val="00004A36"/>
    <w:rsid w:val="0000520D"/>
    <w:rsid w:val="000058AD"/>
    <w:rsid w:val="00005AC7"/>
    <w:rsid w:val="00005CE4"/>
    <w:rsid w:val="00005ECF"/>
    <w:rsid w:val="0000684E"/>
    <w:rsid w:val="0000745A"/>
    <w:rsid w:val="00007822"/>
    <w:rsid w:val="00007968"/>
    <w:rsid w:val="0000E44A"/>
    <w:rsid w:val="00010A86"/>
    <w:rsid w:val="00010AC1"/>
    <w:rsid w:val="00010BA2"/>
    <w:rsid w:val="000111F8"/>
    <w:rsid w:val="0001123F"/>
    <w:rsid w:val="00011879"/>
    <w:rsid w:val="00011904"/>
    <w:rsid w:val="00011E5A"/>
    <w:rsid w:val="00012A74"/>
    <w:rsid w:val="00012B61"/>
    <w:rsid w:val="00012B68"/>
    <w:rsid w:val="00012D87"/>
    <w:rsid w:val="000130DE"/>
    <w:rsid w:val="000131A1"/>
    <w:rsid w:val="0001369E"/>
    <w:rsid w:val="0001417A"/>
    <w:rsid w:val="00014343"/>
    <w:rsid w:val="000146A3"/>
    <w:rsid w:val="00014C4B"/>
    <w:rsid w:val="00015125"/>
    <w:rsid w:val="00015B4E"/>
    <w:rsid w:val="00015E78"/>
    <w:rsid w:val="00016509"/>
    <w:rsid w:val="000167C2"/>
    <w:rsid w:val="0001693A"/>
    <w:rsid w:val="00016B20"/>
    <w:rsid w:val="00016EBB"/>
    <w:rsid w:val="000171AF"/>
    <w:rsid w:val="00017CF0"/>
    <w:rsid w:val="00020A15"/>
    <w:rsid w:val="0002101C"/>
    <w:rsid w:val="00021516"/>
    <w:rsid w:val="00021718"/>
    <w:rsid w:val="0002195D"/>
    <w:rsid w:val="00021FB6"/>
    <w:rsid w:val="00022815"/>
    <w:rsid w:val="00022B46"/>
    <w:rsid w:val="00022C69"/>
    <w:rsid w:val="00022D5C"/>
    <w:rsid w:val="00023226"/>
    <w:rsid w:val="0002330F"/>
    <w:rsid w:val="00023A16"/>
    <w:rsid w:val="00023ACD"/>
    <w:rsid w:val="00023E6E"/>
    <w:rsid w:val="00024A58"/>
    <w:rsid w:val="00024F96"/>
    <w:rsid w:val="000256E7"/>
    <w:rsid w:val="000261E9"/>
    <w:rsid w:val="000262BE"/>
    <w:rsid w:val="000264E8"/>
    <w:rsid w:val="00026517"/>
    <w:rsid w:val="00026710"/>
    <w:rsid w:val="00026829"/>
    <w:rsid w:val="000274C2"/>
    <w:rsid w:val="000278C5"/>
    <w:rsid w:val="00027D81"/>
    <w:rsid w:val="00030192"/>
    <w:rsid w:val="000302DF"/>
    <w:rsid w:val="000306BA"/>
    <w:rsid w:val="000307E4"/>
    <w:rsid w:val="00030BBB"/>
    <w:rsid w:val="000312B3"/>
    <w:rsid w:val="00031340"/>
    <w:rsid w:val="00031C0A"/>
    <w:rsid w:val="000328CD"/>
    <w:rsid w:val="00032B87"/>
    <w:rsid w:val="00033191"/>
    <w:rsid w:val="000346C7"/>
    <w:rsid w:val="000346DB"/>
    <w:rsid w:val="000347F9"/>
    <w:rsid w:val="00034E1D"/>
    <w:rsid w:val="0003526B"/>
    <w:rsid w:val="00035922"/>
    <w:rsid w:val="000359DC"/>
    <w:rsid w:val="00035F3D"/>
    <w:rsid w:val="0003668E"/>
    <w:rsid w:val="00036A7D"/>
    <w:rsid w:val="000371CC"/>
    <w:rsid w:val="000372D0"/>
    <w:rsid w:val="00037E1D"/>
    <w:rsid w:val="00037EB6"/>
    <w:rsid w:val="0004000A"/>
    <w:rsid w:val="000404DA"/>
    <w:rsid w:val="00040795"/>
    <w:rsid w:val="0004089E"/>
    <w:rsid w:val="000408BB"/>
    <w:rsid w:val="00041355"/>
    <w:rsid w:val="00042490"/>
    <w:rsid w:val="00042FBC"/>
    <w:rsid w:val="000432FD"/>
    <w:rsid w:val="0004345C"/>
    <w:rsid w:val="00043647"/>
    <w:rsid w:val="00044325"/>
    <w:rsid w:val="000443EE"/>
    <w:rsid w:val="0004547E"/>
    <w:rsid w:val="00045483"/>
    <w:rsid w:val="00045E95"/>
    <w:rsid w:val="00045F00"/>
    <w:rsid w:val="00046454"/>
    <w:rsid w:val="00046468"/>
    <w:rsid w:val="00046E87"/>
    <w:rsid w:val="00046F25"/>
    <w:rsid w:val="0004750D"/>
    <w:rsid w:val="00047B39"/>
    <w:rsid w:val="00047BE9"/>
    <w:rsid w:val="000501D1"/>
    <w:rsid w:val="00050BF3"/>
    <w:rsid w:val="00051489"/>
    <w:rsid w:val="00051539"/>
    <w:rsid w:val="00051779"/>
    <w:rsid w:val="000519FF"/>
    <w:rsid w:val="00051A31"/>
    <w:rsid w:val="00051E88"/>
    <w:rsid w:val="00052032"/>
    <w:rsid w:val="000522D9"/>
    <w:rsid w:val="00052767"/>
    <w:rsid w:val="0005288D"/>
    <w:rsid w:val="000531EA"/>
    <w:rsid w:val="00053833"/>
    <w:rsid w:val="00053A65"/>
    <w:rsid w:val="00053B59"/>
    <w:rsid w:val="000548FC"/>
    <w:rsid w:val="00054C35"/>
    <w:rsid w:val="0005522C"/>
    <w:rsid w:val="00055E9B"/>
    <w:rsid w:val="000573E7"/>
    <w:rsid w:val="00057CE3"/>
    <w:rsid w:val="00060BC6"/>
    <w:rsid w:val="00060CC6"/>
    <w:rsid w:val="00062A39"/>
    <w:rsid w:val="00062D94"/>
    <w:rsid w:val="00062DD6"/>
    <w:rsid w:val="00062E0B"/>
    <w:rsid w:val="00062E97"/>
    <w:rsid w:val="00062EFB"/>
    <w:rsid w:val="00063232"/>
    <w:rsid w:val="000634C5"/>
    <w:rsid w:val="0006353F"/>
    <w:rsid w:val="00064019"/>
    <w:rsid w:val="00064251"/>
    <w:rsid w:val="0006478E"/>
    <w:rsid w:val="00064D4A"/>
    <w:rsid w:val="000651C1"/>
    <w:rsid w:val="00065562"/>
    <w:rsid w:val="00065882"/>
    <w:rsid w:val="00065BDF"/>
    <w:rsid w:val="00066528"/>
    <w:rsid w:val="00066678"/>
    <w:rsid w:val="0006740A"/>
    <w:rsid w:val="0006793B"/>
    <w:rsid w:val="000679A9"/>
    <w:rsid w:val="00067BFB"/>
    <w:rsid w:val="00070035"/>
    <w:rsid w:val="00070638"/>
    <w:rsid w:val="00070D85"/>
    <w:rsid w:val="00070F84"/>
    <w:rsid w:val="00071216"/>
    <w:rsid w:val="00072942"/>
    <w:rsid w:val="00072BE4"/>
    <w:rsid w:val="0007387F"/>
    <w:rsid w:val="000739D1"/>
    <w:rsid w:val="00074149"/>
    <w:rsid w:val="00074318"/>
    <w:rsid w:val="000746BD"/>
    <w:rsid w:val="0007508D"/>
    <w:rsid w:val="000766E1"/>
    <w:rsid w:val="0007684B"/>
    <w:rsid w:val="00076C5F"/>
    <w:rsid w:val="0007703B"/>
    <w:rsid w:val="0008021E"/>
    <w:rsid w:val="00080292"/>
    <w:rsid w:val="00080412"/>
    <w:rsid w:val="00080B4B"/>
    <w:rsid w:val="00080ECC"/>
    <w:rsid w:val="000813AF"/>
    <w:rsid w:val="00081937"/>
    <w:rsid w:val="00081B2C"/>
    <w:rsid w:val="00081D68"/>
    <w:rsid w:val="000820DF"/>
    <w:rsid w:val="00082A87"/>
    <w:rsid w:val="0008317B"/>
    <w:rsid w:val="00083984"/>
    <w:rsid w:val="00083F8E"/>
    <w:rsid w:val="000846DA"/>
    <w:rsid w:val="00085556"/>
    <w:rsid w:val="00085BF3"/>
    <w:rsid w:val="00085CC2"/>
    <w:rsid w:val="00085CE5"/>
    <w:rsid w:val="00085EBC"/>
    <w:rsid w:val="0008608A"/>
    <w:rsid w:val="000863FE"/>
    <w:rsid w:val="00086ED9"/>
    <w:rsid w:val="00087328"/>
    <w:rsid w:val="000900CD"/>
    <w:rsid w:val="0009010A"/>
    <w:rsid w:val="0009025C"/>
    <w:rsid w:val="000909B3"/>
    <w:rsid w:val="000916A2"/>
    <w:rsid w:val="00092310"/>
    <w:rsid w:val="00092DD5"/>
    <w:rsid w:val="000932B5"/>
    <w:rsid w:val="00093723"/>
    <w:rsid w:val="00093B38"/>
    <w:rsid w:val="00094176"/>
    <w:rsid w:val="0009497A"/>
    <w:rsid w:val="00094D06"/>
    <w:rsid w:val="00095A8C"/>
    <w:rsid w:val="00095C04"/>
    <w:rsid w:val="00095CBC"/>
    <w:rsid w:val="000964AF"/>
    <w:rsid w:val="00096F79"/>
    <w:rsid w:val="0009722C"/>
    <w:rsid w:val="000977A0"/>
    <w:rsid w:val="00097B68"/>
    <w:rsid w:val="000A0008"/>
    <w:rsid w:val="000A0662"/>
    <w:rsid w:val="000A0D17"/>
    <w:rsid w:val="000A143F"/>
    <w:rsid w:val="000A14A8"/>
    <w:rsid w:val="000A192E"/>
    <w:rsid w:val="000A1FEE"/>
    <w:rsid w:val="000A22A4"/>
    <w:rsid w:val="000A2A6E"/>
    <w:rsid w:val="000A3A5B"/>
    <w:rsid w:val="000A3BDD"/>
    <w:rsid w:val="000A402A"/>
    <w:rsid w:val="000A486E"/>
    <w:rsid w:val="000A4A7A"/>
    <w:rsid w:val="000A5469"/>
    <w:rsid w:val="000A62B2"/>
    <w:rsid w:val="000A62FA"/>
    <w:rsid w:val="000A6C5B"/>
    <w:rsid w:val="000A71D0"/>
    <w:rsid w:val="000A735D"/>
    <w:rsid w:val="000A7EBC"/>
    <w:rsid w:val="000B0149"/>
    <w:rsid w:val="000B05EC"/>
    <w:rsid w:val="000B1F32"/>
    <w:rsid w:val="000B2186"/>
    <w:rsid w:val="000B227B"/>
    <w:rsid w:val="000B3435"/>
    <w:rsid w:val="000B35ED"/>
    <w:rsid w:val="000B37F5"/>
    <w:rsid w:val="000B3B72"/>
    <w:rsid w:val="000B3E82"/>
    <w:rsid w:val="000B441B"/>
    <w:rsid w:val="000B474D"/>
    <w:rsid w:val="000B498B"/>
    <w:rsid w:val="000B4A0D"/>
    <w:rsid w:val="000B6716"/>
    <w:rsid w:val="000B6AD9"/>
    <w:rsid w:val="000B6C60"/>
    <w:rsid w:val="000B79FD"/>
    <w:rsid w:val="000B7D5B"/>
    <w:rsid w:val="000C0235"/>
    <w:rsid w:val="000C03C9"/>
    <w:rsid w:val="000C0433"/>
    <w:rsid w:val="000C0516"/>
    <w:rsid w:val="000C0CDA"/>
    <w:rsid w:val="000C15EB"/>
    <w:rsid w:val="000C1762"/>
    <w:rsid w:val="000C1AB5"/>
    <w:rsid w:val="000C1BD6"/>
    <w:rsid w:val="000C2AED"/>
    <w:rsid w:val="000C2E99"/>
    <w:rsid w:val="000C3146"/>
    <w:rsid w:val="000C31A9"/>
    <w:rsid w:val="000C3448"/>
    <w:rsid w:val="000C376C"/>
    <w:rsid w:val="000C37D0"/>
    <w:rsid w:val="000C390B"/>
    <w:rsid w:val="000C3A5F"/>
    <w:rsid w:val="000C3ACF"/>
    <w:rsid w:val="000C3CC1"/>
    <w:rsid w:val="000C4704"/>
    <w:rsid w:val="000C4C1B"/>
    <w:rsid w:val="000C652F"/>
    <w:rsid w:val="000C65BA"/>
    <w:rsid w:val="000C67D7"/>
    <w:rsid w:val="000C67E6"/>
    <w:rsid w:val="000C689C"/>
    <w:rsid w:val="000C6C81"/>
    <w:rsid w:val="000C7639"/>
    <w:rsid w:val="000C7B62"/>
    <w:rsid w:val="000C7C6A"/>
    <w:rsid w:val="000C7E9D"/>
    <w:rsid w:val="000D071D"/>
    <w:rsid w:val="000D0C3F"/>
    <w:rsid w:val="000D19D6"/>
    <w:rsid w:val="000D2098"/>
    <w:rsid w:val="000D27B8"/>
    <w:rsid w:val="000D28AF"/>
    <w:rsid w:val="000D2A59"/>
    <w:rsid w:val="000D2EAC"/>
    <w:rsid w:val="000D318A"/>
    <w:rsid w:val="000D3346"/>
    <w:rsid w:val="000D34BB"/>
    <w:rsid w:val="000D43B7"/>
    <w:rsid w:val="000D44C3"/>
    <w:rsid w:val="000D48F4"/>
    <w:rsid w:val="000D4C37"/>
    <w:rsid w:val="000D537C"/>
    <w:rsid w:val="000D56A6"/>
    <w:rsid w:val="000D5B76"/>
    <w:rsid w:val="000D6180"/>
    <w:rsid w:val="000D6226"/>
    <w:rsid w:val="000D6763"/>
    <w:rsid w:val="000D6930"/>
    <w:rsid w:val="000D6A5C"/>
    <w:rsid w:val="000D6D37"/>
    <w:rsid w:val="000D700B"/>
    <w:rsid w:val="000D70C0"/>
    <w:rsid w:val="000D772D"/>
    <w:rsid w:val="000E022B"/>
    <w:rsid w:val="000E0618"/>
    <w:rsid w:val="000E11A1"/>
    <w:rsid w:val="000E1551"/>
    <w:rsid w:val="000E16E7"/>
    <w:rsid w:val="000E1941"/>
    <w:rsid w:val="000E1CBE"/>
    <w:rsid w:val="000E22C5"/>
    <w:rsid w:val="000E24C9"/>
    <w:rsid w:val="000E296F"/>
    <w:rsid w:val="000E2A5B"/>
    <w:rsid w:val="000E2CF3"/>
    <w:rsid w:val="000E2DAD"/>
    <w:rsid w:val="000E3185"/>
    <w:rsid w:val="000E3214"/>
    <w:rsid w:val="000E32A0"/>
    <w:rsid w:val="000E3A63"/>
    <w:rsid w:val="000E4259"/>
    <w:rsid w:val="000E445B"/>
    <w:rsid w:val="000E44BB"/>
    <w:rsid w:val="000E468E"/>
    <w:rsid w:val="000E4950"/>
    <w:rsid w:val="000E4BD9"/>
    <w:rsid w:val="000E4F4D"/>
    <w:rsid w:val="000E4FF0"/>
    <w:rsid w:val="000E5228"/>
    <w:rsid w:val="000E56C9"/>
    <w:rsid w:val="000E5BE8"/>
    <w:rsid w:val="000E5E5C"/>
    <w:rsid w:val="000E60E7"/>
    <w:rsid w:val="000E61ED"/>
    <w:rsid w:val="000E6236"/>
    <w:rsid w:val="000E6375"/>
    <w:rsid w:val="000E6796"/>
    <w:rsid w:val="000E6851"/>
    <w:rsid w:val="000E6991"/>
    <w:rsid w:val="000E7537"/>
    <w:rsid w:val="000F03B2"/>
    <w:rsid w:val="000F0B72"/>
    <w:rsid w:val="000F103E"/>
    <w:rsid w:val="000F1793"/>
    <w:rsid w:val="000F1BD8"/>
    <w:rsid w:val="000F2494"/>
    <w:rsid w:val="000F27C6"/>
    <w:rsid w:val="000F2E51"/>
    <w:rsid w:val="000F300F"/>
    <w:rsid w:val="000F31E2"/>
    <w:rsid w:val="000F3D02"/>
    <w:rsid w:val="000F4368"/>
    <w:rsid w:val="000F4BBD"/>
    <w:rsid w:val="000F5277"/>
    <w:rsid w:val="000F59C7"/>
    <w:rsid w:val="000F5FE1"/>
    <w:rsid w:val="000F7647"/>
    <w:rsid w:val="000F7FCB"/>
    <w:rsid w:val="000F7FF1"/>
    <w:rsid w:val="00100017"/>
    <w:rsid w:val="00100400"/>
    <w:rsid w:val="001006D1"/>
    <w:rsid w:val="00100B64"/>
    <w:rsid w:val="00100FAD"/>
    <w:rsid w:val="00102BD7"/>
    <w:rsid w:val="00102F4D"/>
    <w:rsid w:val="001030F8"/>
    <w:rsid w:val="001031DB"/>
    <w:rsid w:val="001033D6"/>
    <w:rsid w:val="00103690"/>
    <w:rsid w:val="00103BD3"/>
    <w:rsid w:val="001042A5"/>
    <w:rsid w:val="001042E3"/>
    <w:rsid w:val="00104713"/>
    <w:rsid w:val="0010496A"/>
    <w:rsid w:val="00104B11"/>
    <w:rsid w:val="00104C3A"/>
    <w:rsid w:val="00104ED0"/>
    <w:rsid w:val="00104FD4"/>
    <w:rsid w:val="001054BA"/>
    <w:rsid w:val="00105551"/>
    <w:rsid w:val="00105DB6"/>
    <w:rsid w:val="0010611F"/>
    <w:rsid w:val="00106384"/>
    <w:rsid w:val="001064F7"/>
    <w:rsid w:val="0010689F"/>
    <w:rsid w:val="00106AF0"/>
    <w:rsid w:val="00106E9F"/>
    <w:rsid w:val="00107042"/>
    <w:rsid w:val="0010709F"/>
    <w:rsid w:val="001077E5"/>
    <w:rsid w:val="00107874"/>
    <w:rsid w:val="00107D34"/>
    <w:rsid w:val="001105F4"/>
    <w:rsid w:val="00110E47"/>
    <w:rsid w:val="00111086"/>
    <w:rsid w:val="00111B33"/>
    <w:rsid w:val="00111BE2"/>
    <w:rsid w:val="00111D73"/>
    <w:rsid w:val="00111E0B"/>
    <w:rsid w:val="00111E58"/>
    <w:rsid w:val="00111F1B"/>
    <w:rsid w:val="00112609"/>
    <w:rsid w:val="00112968"/>
    <w:rsid w:val="00112D01"/>
    <w:rsid w:val="001132FA"/>
    <w:rsid w:val="0011340D"/>
    <w:rsid w:val="00113580"/>
    <w:rsid w:val="0011512E"/>
    <w:rsid w:val="001154B7"/>
    <w:rsid w:val="00116803"/>
    <w:rsid w:val="00116DDB"/>
    <w:rsid w:val="001170F2"/>
    <w:rsid w:val="00117A83"/>
    <w:rsid w:val="00117AA1"/>
    <w:rsid w:val="00120364"/>
    <w:rsid w:val="001203D8"/>
    <w:rsid w:val="00120714"/>
    <w:rsid w:val="001207B5"/>
    <w:rsid w:val="00120CA9"/>
    <w:rsid w:val="00120E38"/>
    <w:rsid w:val="00121CE5"/>
    <w:rsid w:val="00122348"/>
    <w:rsid w:val="00122EBA"/>
    <w:rsid w:val="00123397"/>
    <w:rsid w:val="0012372A"/>
    <w:rsid w:val="001246B3"/>
    <w:rsid w:val="0012494F"/>
    <w:rsid w:val="00124D4F"/>
    <w:rsid w:val="001250F4"/>
    <w:rsid w:val="00125679"/>
    <w:rsid w:val="001257BF"/>
    <w:rsid w:val="00126611"/>
    <w:rsid w:val="00126747"/>
    <w:rsid w:val="00126D51"/>
    <w:rsid w:val="0012776C"/>
    <w:rsid w:val="00130FAB"/>
    <w:rsid w:val="001311D2"/>
    <w:rsid w:val="001316C1"/>
    <w:rsid w:val="001316E2"/>
    <w:rsid w:val="00131B8E"/>
    <w:rsid w:val="00131BE3"/>
    <w:rsid w:val="00131FAC"/>
    <w:rsid w:val="001321CD"/>
    <w:rsid w:val="00132572"/>
    <w:rsid w:val="001327B2"/>
    <w:rsid w:val="00132E51"/>
    <w:rsid w:val="00133379"/>
    <w:rsid w:val="0013387C"/>
    <w:rsid w:val="001338F0"/>
    <w:rsid w:val="001343E0"/>
    <w:rsid w:val="001345D1"/>
    <w:rsid w:val="001348CB"/>
    <w:rsid w:val="00134E05"/>
    <w:rsid w:val="00134F12"/>
    <w:rsid w:val="001355A7"/>
    <w:rsid w:val="00135F8F"/>
    <w:rsid w:val="00136921"/>
    <w:rsid w:val="00136BF9"/>
    <w:rsid w:val="00136D58"/>
    <w:rsid w:val="0013726D"/>
    <w:rsid w:val="0013750C"/>
    <w:rsid w:val="00137895"/>
    <w:rsid w:val="00137DF0"/>
    <w:rsid w:val="00137E3B"/>
    <w:rsid w:val="001405AF"/>
    <w:rsid w:val="00140B15"/>
    <w:rsid w:val="00140BE7"/>
    <w:rsid w:val="00140CFC"/>
    <w:rsid w:val="00141985"/>
    <w:rsid w:val="00141F2B"/>
    <w:rsid w:val="001425C9"/>
    <w:rsid w:val="001429A7"/>
    <w:rsid w:val="00142A20"/>
    <w:rsid w:val="00142A2D"/>
    <w:rsid w:val="00142A68"/>
    <w:rsid w:val="0014314A"/>
    <w:rsid w:val="00143A57"/>
    <w:rsid w:val="00144A38"/>
    <w:rsid w:val="00144DEF"/>
    <w:rsid w:val="0014501A"/>
    <w:rsid w:val="00145B0B"/>
    <w:rsid w:val="00145B52"/>
    <w:rsid w:val="00145C87"/>
    <w:rsid w:val="00146548"/>
    <w:rsid w:val="00146D95"/>
    <w:rsid w:val="00146DCE"/>
    <w:rsid w:val="00146FE4"/>
    <w:rsid w:val="001477A1"/>
    <w:rsid w:val="001477AD"/>
    <w:rsid w:val="00147A8C"/>
    <w:rsid w:val="0015186A"/>
    <w:rsid w:val="00151970"/>
    <w:rsid w:val="001522FE"/>
    <w:rsid w:val="00152CDD"/>
    <w:rsid w:val="001534DC"/>
    <w:rsid w:val="0015393E"/>
    <w:rsid w:val="001547ED"/>
    <w:rsid w:val="00154843"/>
    <w:rsid w:val="00154B40"/>
    <w:rsid w:val="001554FA"/>
    <w:rsid w:val="001557AD"/>
    <w:rsid w:val="00155C62"/>
    <w:rsid w:val="00156B9F"/>
    <w:rsid w:val="001577E1"/>
    <w:rsid w:val="00157D1A"/>
    <w:rsid w:val="00157FEB"/>
    <w:rsid w:val="00162DFD"/>
    <w:rsid w:val="00162FD3"/>
    <w:rsid w:val="001641CF"/>
    <w:rsid w:val="001644BB"/>
    <w:rsid w:val="0016489A"/>
    <w:rsid w:val="001648C7"/>
    <w:rsid w:val="00164A11"/>
    <w:rsid w:val="00164D19"/>
    <w:rsid w:val="00164FF2"/>
    <w:rsid w:val="0016585D"/>
    <w:rsid w:val="001665F3"/>
    <w:rsid w:val="0016698B"/>
    <w:rsid w:val="00167221"/>
    <w:rsid w:val="001672BB"/>
    <w:rsid w:val="00167894"/>
    <w:rsid w:val="001679B6"/>
    <w:rsid w:val="00167E5C"/>
    <w:rsid w:val="001708C2"/>
    <w:rsid w:val="00170AAB"/>
    <w:rsid w:val="00170D8E"/>
    <w:rsid w:val="00170F43"/>
    <w:rsid w:val="00171206"/>
    <w:rsid w:val="001719E7"/>
    <w:rsid w:val="00171F7B"/>
    <w:rsid w:val="0017271F"/>
    <w:rsid w:val="00172F46"/>
    <w:rsid w:val="00173513"/>
    <w:rsid w:val="00174053"/>
    <w:rsid w:val="0017412E"/>
    <w:rsid w:val="00174658"/>
    <w:rsid w:val="00175103"/>
    <w:rsid w:val="001755D0"/>
    <w:rsid w:val="001767FD"/>
    <w:rsid w:val="00176F37"/>
    <w:rsid w:val="00177450"/>
    <w:rsid w:val="00177658"/>
    <w:rsid w:val="001778B4"/>
    <w:rsid w:val="001778C5"/>
    <w:rsid w:val="00177C4F"/>
    <w:rsid w:val="00180789"/>
    <w:rsid w:val="001810DE"/>
    <w:rsid w:val="00181920"/>
    <w:rsid w:val="00181AFF"/>
    <w:rsid w:val="00181C57"/>
    <w:rsid w:val="00182CFA"/>
    <w:rsid w:val="00183CD2"/>
    <w:rsid w:val="00183F7C"/>
    <w:rsid w:val="00184088"/>
    <w:rsid w:val="0018438E"/>
    <w:rsid w:val="00184C5F"/>
    <w:rsid w:val="00185EBA"/>
    <w:rsid w:val="001861CA"/>
    <w:rsid w:val="001863D3"/>
    <w:rsid w:val="001866F9"/>
    <w:rsid w:val="0018692C"/>
    <w:rsid w:val="00186B2F"/>
    <w:rsid w:val="001878BE"/>
    <w:rsid w:val="00187D63"/>
    <w:rsid w:val="00190F68"/>
    <w:rsid w:val="00191111"/>
    <w:rsid w:val="001912E6"/>
    <w:rsid w:val="00191A59"/>
    <w:rsid w:val="00191FC3"/>
    <w:rsid w:val="00192436"/>
    <w:rsid w:val="00192585"/>
    <w:rsid w:val="00192F6E"/>
    <w:rsid w:val="001931AD"/>
    <w:rsid w:val="00193204"/>
    <w:rsid w:val="001932CE"/>
    <w:rsid w:val="001937AD"/>
    <w:rsid w:val="00195018"/>
    <w:rsid w:val="001957B2"/>
    <w:rsid w:val="00195C92"/>
    <w:rsid w:val="00195D82"/>
    <w:rsid w:val="0019602B"/>
    <w:rsid w:val="0019618A"/>
    <w:rsid w:val="001963F2"/>
    <w:rsid w:val="00196581"/>
    <w:rsid w:val="001965A6"/>
    <w:rsid w:val="0019664B"/>
    <w:rsid w:val="001968AD"/>
    <w:rsid w:val="0019705A"/>
    <w:rsid w:val="001971AD"/>
    <w:rsid w:val="001979E8"/>
    <w:rsid w:val="00197B28"/>
    <w:rsid w:val="00197C23"/>
    <w:rsid w:val="001A04E4"/>
    <w:rsid w:val="001A0523"/>
    <w:rsid w:val="001A08DB"/>
    <w:rsid w:val="001A0A55"/>
    <w:rsid w:val="001A1692"/>
    <w:rsid w:val="001A1A92"/>
    <w:rsid w:val="001A23E3"/>
    <w:rsid w:val="001A242A"/>
    <w:rsid w:val="001A28F2"/>
    <w:rsid w:val="001A35BD"/>
    <w:rsid w:val="001A39F5"/>
    <w:rsid w:val="001A4025"/>
    <w:rsid w:val="001A42E1"/>
    <w:rsid w:val="001A4BD4"/>
    <w:rsid w:val="001A5026"/>
    <w:rsid w:val="001A5639"/>
    <w:rsid w:val="001A60B9"/>
    <w:rsid w:val="001A6213"/>
    <w:rsid w:val="001A6229"/>
    <w:rsid w:val="001A6B74"/>
    <w:rsid w:val="001A6BD9"/>
    <w:rsid w:val="001A784E"/>
    <w:rsid w:val="001A79AA"/>
    <w:rsid w:val="001B04D6"/>
    <w:rsid w:val="001B095B"/>
    <w:rsid w:val="001B14F1"/>
    <w:rsid w:val="001B1853"/>
    <w:rsid w:val="001B1DF3"/>
    <w:rsid w:val="001B1FF1"/>
    <w:rsid w:val="001B340E"/>
    <w:rsid w:val="001B3577"/>
    <w:rsid w:val="001B3AD3"/>
    <w:rsid w:val="001B3F62"/>
    <w:rsid w:val="001B3FA7"/>
    <w:rsid w:val="001B4017"/>
    <w:rsid w:val="001B42F1"/>
    <w:rsid w:val="001B489A"/>
    <w:rsid w:val="001B4E6F"/>
    <w:rsid w:val="001B525D"/>
    <w:rsid w:val="001B6891"/>
    <w:rsid w:val="001B6E3A"/>
    <w:rsid w:val="001B70FE"/>
    <w:rsid w:val="001B7420"/>
    <w:rsid w:val="001B7A2A"/>
    <w:rsid w:val="001C0123"/>
    <w:rsid w:val="001C0277"/>
    <w:rsid w:val="001C077A"/>
    <w:rsid w:val="001C09C2"/>
    <w:rsid w:val="001C1B4E"/>
    <w:rsid w:val="001C1CAC"/>
    <w:rsid w:val="001C20D8"/>
    <w:rsid w:val="001C233B"/>
    <w:rsid w:val="001C2ABD"/>
    <w:rsid w:val="001C2DEB"/>
    <w:rsid w:val="001C32B6"/>
    <w:rsid w:val="001C48B5"/>
    <w:rsid w:val="001C4ADA"/>
    <w:rsid w:val="001C4D49"/>
    <w:rsid w:val="001C50D2"/>
    <w:rsid w:val="001C5387"/>
    <w:rsid w:val="001C555C"/>
    <w:rsid w:val="001C57A8"/>
    <w:rsid w:val="001C58D9"/>
    <w:rsid w:val="001C5B6B"/>
    <w:rsid w:val="001C63DB"/>
    <w:rsid w:val="001C6E70"/>
    <w:rsid w:val="001C76F9"/>
    <w:rsid w:val="001D0958"/>
    <w:rsid w:val="001D0BD3"/>
    <w:rsid w:val="001D1114"/>
    <w:rsid w:val="001D122D"/>
    <w:rsid w:val="001D12C8"/>
    <w:rsid w:val="001D19CE"/>
    <w:rsid w:val="001D1A10"/>
    <w:rsid w:val="001D1D8B"/>
    <w:rsid w:val="001D1F4B"/>
    <w:rsid w:val="001D22D8"/>
    <w:rsid w:val="001D24F6"/>
    <w:rsid w:val="001D296E"/>
    <w:rsid w:val="001D2E20"/>
    <w:rsid w:val="001D2FA9"/>
    <w:rsid w:val="001D2FB5"/>
    <w:rsid w:val="001D2FDE"/>
    <w:rsid w:val="001D33F1"/>
    <w:rsid w:val="001D35DA"/>
    <w:rsid w:val="001D3918"/>
    <w:rsid w:val="001D3A74"/>
    <w:rsid w:val="001D3BAC"/>
    <w:rsid w:val="001D59C6"/>
    <w:rsid w:val="001D5A09"/>
    <w:rsid w:val="001D5BBE"/>
    <w:rsid w:val="001D5E00"/>
    <w:rsid w:val="001D5FC2"/>
    <w:rsid w:val="001D6E72"/>
    <w:rsid w:val="001D7709"/>
    <w:rsid w:val="001D7D2E"/>
    <w:rsid w:val="001E077F"/>
    <w:rsid w:val="001E0A02"/>
    <w:rsid w:val="001E0E27"/>
    <w:rsid w:val="001E0F1E"/>
    <w:rsid w:val="001E1126"/>
    <w:rsid w:val="001E19B4"/>
    <w:rsid w:val="001E3391"/>
    <w:rsid w:val="001E3DE7"/>
    <w:rsid w:val="001E4204"/>
    <w:rsid w:val="001E54AB"/>
    <w:rsid w:val="001E5E93"/>
    <w:rsid w:val="001E6255"/>
    <w:rsid w:val="001E6D9E"/>
    <w:rsid w:val="001E7003"/>
    <w:rsid w:val="001E73FE"/>
    <w:rsid w:val="001E7714"/>
    <w:rsid w:val="001E7C13"/>
    <w:rsid w:val="001F018C"/>
    <w:rsid w:val="001F0CEE"/>
    <w:rsid w:val="001F11B5"/>
    <w:rsid w:val="001F11F2"/>
    <w:rsid w:val="001F193D"/>
    <w:rsid w:val="001F1A53"/>
    <w:rsid w:val="001F1F51"/>
    <w:rsid w:val="001F223A"/>
    <w:rsid w:val="001F2C0E"/>
    <w:rsid w:val="001F3405"/>
    <w:rsid w:val="001F3919"/>
    <w:rsid w:val="001F3D4A"/>
    <w:rsid w:val="001F4976"/>
    <w:rsid w:val="001F4A99"/>
    <w:rsid w:val="001F5116"/>
    <w:rsid w:val="001F605D"/>
    <w:rsid w:val="001F68EB"/>
    <w:rsid w:val="001F6CA8"/>
    <w:rsid w:val="001F6E9D"/>
    <w:rsid w:val="001F7BC1"/>
    <w:rsid w:val="00200169"/>
    <w:rsid w:val="0020034A"/>
    <w:rsid w:val="002004D8"/>
    <w:rsid w:val="00200740"/>
    <w:rsid w:val="002012C1"/>
    <w:rsid w:val="002013F3"/>
    <w:rsid w:val="00201511"/>
    <w:rsid w:val="00202E4E"/>
    <w:rsid w:val="002032B0"/>
    <w:rsid w:val="002034CC"/>
    <w:rsid w:val="00203BE3"/>
    <w:rsid w:val="0020428E"/>
    <w:rsid w:val="002047F5"/>
    <w:rsid w:val="00204A8B"/>
    <w:rsid w:val="00204C14"/>
    <w:rsid w:val="00204E63"/>
    <w:rsid w:val="0020503B"/>
    <w:rsid w:val="00205B33"/>
    <w:rsid w:val="0020620D"/>
    <w:rsid w:val="002063F1"/>
    <w:rsid w:val="00206B71"/>
    <w:rsid w:val="00206D90"/>
    <w:rsid w:val="00206DEC"/>
    <w:rsid w:val="00206FDB"/>
    <w:rsid w:val="00207123"/>
    <w:rsid w:val="002071A8"/>
    <w:rsid w:val="002076B5"/>
    <w:rsid w:val="00207FE5"/>
    <w:rsid w:val="00210586"/>
    <w:rsid w:val="00211353"/>
    <w:rsid w:val="00212051"/>
    <w:rsid w:val="00212462"/>
    <w:rsid w:val="00212528"/>
    <w:rsid w:val="0021283A"/>
    <w:rsid w:val="00213944"/>
    <w:rsid w:val="00213BBF"/>
    <w:rsid w:val="00213C85"/>
    <w:rsid w:val="002140C6"/>
    <w:rsid w:val="0021410D"/>
    <w:rsid w:val="002144B3"/>
    <w:rsid w:val="00214510"/>
    <w:rsid w:val="00214D6C"/>
    <w:rsid w:val="0021509E"/>
    <w:rsid w:val="002153A6"/>
    <w:rsid w:val="00215EA7"/>
    <w:rsid w:val="00216483"/>
    <w:rsid w:val="002164AB"/>
    <w:rsid w:val="00216533"/>
    <w:rsid w:val="002169C6"/>
    <w:rsid w:val="00216B0E"/>
    <w:rsid w:val="00217588"/>
    <w:rsid w:val="00217C2F"/>
    <w:rsid w:val="002205FB"/>
    <w:rsid w:val="00221068"/>
    <w:rsid w:val="002219FC"/>
    <w:rsid w:val="0022250A"/>
    <w:rsid w:val="00222B14"/>
    <w:rsid w:val="00222B99"/>
    <w:rsid w:val="0022305F"/>
    <w:rsid w:val="0022359D"/>
    <w:rsid w:val="00223910"/>
    <w:rsid w:val="002239BE"/>
    <w:rsid w:val="00223EC5"/>
    <w:rsid w:val="0022459D"/>
    <w:rsid w:val="002245D5"/>
    <w:rsid w:val="00225C0C"/>
    <w:rsid w:val="0022603E"/>
    <w:rsid w:val="00226289"/>
    <w:rsid w:val="00226B02"/>
    <w:rsid w:val="00226B95"/>
    <w:rsid w:val="00226D93"/>
    <w:rsid w:val="00227BFE"/>
    <w:rsid w:val="00227C0D"/>
    <w:rsid w:val="00227F1E"/>
    <w:rsid w:val="002300BD"/>
    <w:rsid w:val="0023020F"/>
    <w:rsid w:val="00230226"/>
    <w:rsid w:val="00230292"/>
    <w:rsid w:val="0023032A"/>
    <w:rsid w:val="002303F8"/>
    <w:rsid w:val="00230991"/>
    <w:rsid w:val="002327BE"/>
    <w:rsid w:val="00233D40"/>
    <w:rsid w:val="00233F2C"/>
    <w:rsid w:val="002343DE"/>
    <w:rsid w:val="0023462F"/>
    <w:rsid w:val="002348B7"/>
    <w:rsid w:val="00235026"/>
    <w:rsid w:val="00235369"/>
    <w:rsid w:val="00235A47"/>
    <w:rsid w:val="00235AB1"/>
    <w:rsid w:val="00235F10"/>
    <w:rsid w:val="002363E8"/>
    <w:rsid w:val="00236421"/>
    <w:rsid w:val="0023689E"/>
    <w:rsid w:val="00237A65"/>
    <w:rsid w:val="00240A1A"/>
    <w:rsid w:val="00240A32"/>
    <w:rsid w:val="00240DDF"/>
    <w:rsid w:val="00240E2C"/>
    <w:rsid w:val="00240F01"/>
    <w:rsid w:val="00240F11"/>
    <w:rsid w:val="0024150B"/>
    <w:rsid w:val="00241C3A"/>
    <w:rsid w:val="00242294"/>
    <w:rsid w:val="00242549"/>
    <w:rsid w:val="00242838"/>
    <w:rsid w:val="00242E52"/>
    <w:rsid w:val="00243F37"/>
    <w:rsid w:val="002441FE"/>
    <w:rsid w:val="002446E9"/>
    <w:rsid w:val="002448CB"/>
    <w:rsid w:val="00244DB7"/>
    <w:rsid w:val="002450AB"/>
    <w:rsid w:val="00246B1A"/>
    <w:rsid w:val="00246F98"/>
    <w:rsid w:val="00247297"/>
    <w:rsid w:val="00247736"/>
    <w:rsid w:val="002505D9"/>
    <w:rsid w:val="00250BC5"/>
    <w:rsid w:val="00250D6E"/>
    <w:rsid w:val="00251146"/>
    <w:rsid w:val="002512D8"/>
    <w:rsid w:val="00251AF3"/>
    <w:rsid w:val="002522CC"/>
    <w:rsid w:val="002523C2"/>
    <w:rsid w:val="0025244D"/>
    <w:rsid w:val="00252701"/>
    <w:rsid w:val="00252B31"/>
    <w:rsid w:val="002537E8"/>
    <w:rsid w:val="002538D5"/>
    <w:rsid w:val="002539AA"/>
    <w:rsid w:val="002540D5"/>
    <w:rsid w:val="00254ED0"/>
    <w:rsid w:val="00255042"/>
    <w:rsid w:val="00255A31"/>
    <w:rsid w:val="00256374"/>
    <w:rsid w:val="0025689D"/>
    <w:rsid w:val="002569F7"/>
    <w:rsid w:val="00256E10"/>
    <w:rsid w:val="00257916"/>
    <w:rsid w:val="00257E71"/>
    <w:rsid w:val="00260275"/>
    <w:rsid w:val="002612B0"/>
    <w:rsid w:val="00261D27"/>
    <w:rsid w:val="00261DE3"/>
    <w:rsid w:val="002621ED"/>
    <w:rsid w:val="00262F54"/>
    <w:rsid w:val="002633B7"/>
    <w:rsid w:val="002637E2"/>
    <w:rsid w:val="0026384C"/>
    <w:rsid w:val="00264140"/>
    <w:rsid w:val="00264380"/>
    <w:rsid w:val="002644D2"/>
    <w:rsid w:val="00264617"/>
    <w:rsid w:val="0026477A"/>
    <w:rsid w:val="0026616C"/>
    <w:rsid w:val="00267E72"/>
    <w:rsid w:val="00270ABB"/>
    <w:rsid w:val="00270ABD"/>
    <w:rsid w:val="00270E65"/>
    <w:rsid w:val="002717EE"/>
    <w:rsid w:val="00272151"/>
    <w:rsid w:val="002726BC"/>
    <w:rsid w:val="002731A0"/>
    <w:rsid w:val="0027323A"/>
    <w:rsid w:val="002732B6"/>
    <w:rsid w:val="0027348A"/>
    <w:rsid w:val="00273609"/>
    <w:rsid w:val="00273C0D"/>
    <w:rsid w:val="00273FAE"/>
    <w:rsid w:val="002742F0"/>
    <w:rsid w:val="002743D8"/>
    <w:rsid w:val="00274751"/>
    <w:rsid w:val="00274788"/>
    <w:rsid w:val="00274B6A"/>
    <w:rsid w:val="00274CA7"/>
    <w:rsid w:val="00274CC6"/>
    <w:rsid w:val="00274D47"/>
    <w:rsid w:val="00275C8B"/>
    <w:rsid w:val="00275FCF"/>
    <w:rsid w:val="00276979"/>
    <w:rsid w:val="00276ADB"/>
    <w:rsid w:val="00276B24"/>
    <w:rsid w:val="00276E55"/>
    <w:rsid w:val="0027723B"/>
    <w:rsid w:val="002773CC"/>
    <w:rsid w:val="002776DF"/>
    <w:rsid w:val="00280378"/>
    <w:rsid w:val="002809E2"/>
    <w:rsid w:val="00280B47"/>
    <w:rsid w:val="00281033"/>
    <w:rsid w:val="0028189D"/>
    <w:rsid w:val="0028228F"/>
    <w:rsid w:val="002823A0"/>
    <w:rsid w:val="00282962"/>
    <w:rsid w:val="00283353"/>
    <w:rsid w:val="0028353D"/>
    <w:rsid w:val="00283927"/>
    <w:rsid w:val="00283D0C"/>
    <w:rsid w:val="00284C86"/>
    <w:rsid w:val="00284C8A"/>
    <w:rsid w:val="00284E5E"/>
    <w:rsid w:val="00284FE3"/>
    <w:rsid w:val="002850FC"/>
    <w:rsid w:val="002851CD"/>
    <w:rsid w:val="002854FC"/>
    <w:rsid w:val="00285BE1"/>
    <w:rsid w:val="00286215"/>
    <w:rsid w:val="00286940"/>
    <w:rsid w:val="002878DA"/>
    <w:rsid w:val="00287D77"/>
    <w:rsid w:val="00287FF0"/>
    <w:rsid w:val="00290333"/>
    <w:rsid w:val="00290708"/>
    <w:rsid w:val="00290E08"/>
    <w:rsid w:val="00290E0F"/>
    <w:rsid w:val="0029171B"/>
    <w:rsid w:val="00292017"/>
    <w:rsid w:val="002923BA"/>
    <w:rsid w:val="002923C5"/>
    <w:rsid w:val="0029248C"/>
    <w:rsid w:val="0029269B"/>
    <w:rsid w:val="00293065"/>
    <w:rsid w:val="00293BC9"/>
    <w:rsid w:val="002940F2"/>
    <w:rsid w:val="0029425D"/>
    <w:rsid w:val="00294457"/>
    <w:rsid w:val="002946A1"/>
    <w:rsid w:val="002949F2"/>
    <w:rsid w:val="00295106"/>
    <w:rsid w:val="002956B5"/>
    <w:rsid w:val="00296186"/>
    <w:rsid w:val="00296938"/>
    <w:rsid w:val="00296B91"/>
    <w:rsid w:val="00297311"/>
    <w:rsid w:val="002975DD"/>
    <w:rsid w:val="00297719"/>
    <w:rsid w:val="00297DE3"/>
    <w:rsid w:val="002A0561"/>
    <w:rsid w:val="002A09C4"/>
    <w:rsid w:val="002A0B40"/>
    <w:rsid w:val="002A0C2A"/>
    <w:rsid w:val="002A291D"/>
    <w:rsid w:val="002A29E3"/>
    <w:rsid w:val="002A3738"/>
    <w:rsid w:val="002A3752"/>
    <w:rsid w:val="002A3ADB"/>
    <w:rsid w:val="002A4307"/>
    <w:rsid w:val="002A5644"/>
    <w:rsid w:val="002A6785"/>
    <w:rsid w:val="002A69B2"/>
    <w:rsid w:val="002A6CB6"/>
    <w:rsid w:val="002A71B1"/>
    <w:rsid w:val="002A7453"/>
    <w:rsid w:val="002A7AA5"/>
    <w:rsid w:val="002A7F9A"/>
    <w:rsid w:val="002B134A"/>
    <w:rsid w:val="002B16C0"/>
    <w:rsid w:val="002B1883"/>
    <w:rsid w:val="002B1AB0"/>
    <w:rsid w:val="002B1B21"/>
    <w:rsid w:val="002B1B96"/>
    <w:rsid w:val="002B1F3F"/>
    <w:rsid w:val="002B24C7"/>
    <w:rsid w:val="002B3296"/>
    <w:rsid w:val="002B3601"/>
    <w:rsid w:val="002B3996"/>
    <w:rsid w:val="002B3CCE"/>
    <w:rsid w:val="002B4229"/>
    <w:rsid w:val="002B4422"/>
    <w:rsid w:val="002B59B7"/>
    <w:rsid w:val="002B658F"/>
    <w:rsid w:val="002B6654"/>
    <w:rsid w:val="002B6A5F"/>
    <w:rsid w:val="002B7BD8"/>
    <w:rsid w:val="002B7FA2"/>
    <w:rsid w:val="002C0499"/>
    <w:rsid w:val="002C0A7D"/>
    <w:rsid w:val="002C0D5E"/>
    <w:rsid w:val="002C11E6"/>
    <w:rsid w:val="002C20F6"/>
    <w:rsid w:val="002C2A1E"/>
    <w:rsid w:val="002C2ACB"/>
    <w:rsid w:val="002C2B86"/>
    <w:rsid w:val="002C34B7"/>
    <w:rsid w:val="002C3D86"/>
    <w:rsid w:val="002C46F2"/>
    <w:rsid w:val="002C4809"/>
    <w:rsid w:val="002C4829"/>
    <w:rsid w:val="002C5431"/>
    <w:rsid w:val="002C55D0"/>
    <w:rsid w:val="002C55F8"/>
    <w:rsid w:val="002C5B01"/>
    <w:rsid w:val="002C6580"/>
    <w:rsid w:val="002C686B"/>
    <w:rsid w:val="002C6BC0"/>
    <w:rsid w:val="002C7526"/>
    <w:rsid w:val="002C7F47"/>
    <w:rsid w:val="002D0CAD"/>
    <w:rsid w:val="002D0ED0"/>
    <w:rsid w:val="002D1E8B"/>
    <w:rsid w:val="002D1FB4"/>
    <w:rsid w:val="002D2CD7"/>
    <w:rsid w:val="002D2CDD"/>
    <w:rsid w:val="002D313A"/>
    <w:rsid w:val="002D4148"/>
    <w:rsid w:val="002D4521"/>
    <w:rsid w:val="002D46AD"/>
    <w:rsid w:val="002D5003"/>
    <w:rsid w:val="002D5FF5"/>
    <w:rsid w:val="002D60D6"/>
    <w:rsid w:val="002D639B"/>
    <w:rsid w:val="002D64A3"/>
    <w:rsid w:val="002D67B0"/>
    <w:rsid w:val="002D67B9"/>
    <w:rsid w:val="002D7703"/>
    <w:rsid w:val="002D7715"/>
    <w:rsid w:val="002E07EF"/>
    <w:rsid w:val="002E0AE6"/>
    <w:rsid w:val="002E0B79"/>
    <w:rsid w:val="002E1214"/>
    <w:rsid w:val="002E16DB"/>
    <w:rsid w:val="002E1B0F"/>
    <w:rsid w:val="002E2591"/>
    <w:rsid w:val="002E29D1"/>
    <w:rsid w:val="002E2C83"/>
    <w:rsid w:val="002E2FB9"/>
    <w:rsid w:val="002E354A"/>
    <w:rsid w:val="002E3761"/>
    <w:rsid w:val="002E397E"/>
    <w:rsid w:val="002E3DD5"/>
    <w:rsid w:val="002E3E8B"/>
    <w:rsid w:val="002E442A"/>
    <w:rsid w:val="002E487D"/>
    <w:rsid w:val="002E4DD6"/>
    <w:rsid w:val="002E4DED"/>
    <w:rsid w:val="002E5336"/>
    <w:rsid w:val="002E574D"/>
    <w:rsid w:val="002E5B05"/>
    <w:rsid w:val="002E5B75"/>
    <w:rsid w:val="002E6166"/>
    <w:rsid w:val="002E63FC"/>
    <w:rsid w:val="002E6F33"/>
    <w:rsid w:val="002E7AA8"/>
    <w:rsid w:val="002E7BBD"/>
    <w:rsid w:val="002F0A9A"/>
    <w:rsid w:val="002F0CAC"/>
    <w:rsid w:val="002F0D3B"/>
    <w:rsid w:val="002F0F9C"/>
    <w:rsid w:val="002F1530"/>
    <w:rsid w:val="002F1535"/>
    <w:rsid w:val="002F198A"/>
    <w:rsid w:val="002F1C45"/>
    <w:rsid w:val="002F209D"/>
    <w:rsid w:val="002F29C4"/>
    <w:rsid w:val="002F2B1B"/>
    <w:rsid w:val="002F2CF3"/>
    <w:rsid w:val="002F304B"/>
    <w:rsid w:val="002F35D1"/>
    <w:rsid w:val="002F3C0F"/>
    <w:rsid w:val="002F4460"/>
    <w:rsid w:val="002F4CF5"/>
    <w:rsid w:val="002F504E"/>
    <w:rsid w:val="002F50B1"/>
    <w:rsid w:val="002F54B0"/>
    <w:rsid w:val="002F5504"/>
    <w:rsid w:val="002F551A"/>
    <w:rsid w:val="002F5AB5"/>
    <w:rsid w:val="002F6B79"/>
    <w:rsid w:val="002F6DD3"/>
    <w:rsid w:val="002F6F56"/>
    <w:rsid w:val="002F7348"/>
    <w:rsid w:val="002F7C4A"/>
    <w:rsid w:val="00300010"/>
    <w:rsid w:val="0030060A"/>
    <w:rsid w:val="003009A7"/>
    <w:rsid w:val="00300B5C"/>
    <w:rsid w:val="0030176D"/>
    <w:rsid w:val="00301B8E"/>
    <w:rsid w:val="00302ACE"/>
    <w:rsid w:val="00303230"/>
    <w:rsid w:val="00303256"/>
    <w:rsid w:val="0030359D"/>
    <w:rsid w:val="00304052"/>
    <w:rsid w:val="00305953"/>
    <w:rsid w:val="00306043"/>
    <w:rsid w:val="00306641"/>
    <w:rsid w:val="0030682F"/>
    <w:rsid w:val="0030710C"/>
    <w:rsid w:val="00307441"/>
    <w:rsid w:val="00307E82"/>
    <w:rsid w:val="00310617"/>
    <w:rsid w:val="00310914"/>
    <w:rsid w:val="00310999"/>
    <w:rsid w:val="00310F98"/>
    <w:rsid w:val="0031177B"/>
    <w:rsid w:val="00311BB5"/>
    <w:rsid w:val="00311E9E"/>
    <w:rsid w:val="00312080"/>
    <w:rsid w:val="003121F1"/>
    <w:rsid w:val="00312313"/>
    <w:rsid w:val="0031286B"/>
    <w:rsid w:val="00313029"/>
    <w:rsid w:val="00313097"/>
    <w:rsid w:val="003137BF"/>
    <w:rsid w:val="00314946"/>
    <w:rsid w:val="00315B13"/>
    <w:rsid w:val="003160BD"/>
    <w:rsid w:val="003160FB"/>
    <w:rsid w:val="0031616A"/>
    <w:rsid w:val="0031661B"/>
    <w:rsid w:val="003168C7"/>
    <w:rsid w:val="00316DE1"/>
    <w:rsid w:val="00316EA8"/>
    <w:rsid w:val="0031727D"/>
    <w:rsid w:val="0031761C"/>
    <w:rsid w:val="00317C2B"/>
    <w:rsid w:val="00317F51"/>
    <w:rsid w:val="003203F0"/>
    <w:rsid w:val="003209A2"/>
    <w:rsid w:val="003209F5"/>
    <w:rsid w:val="003211A2"/>
    <w:rsid w:val="003213F1"/>
    <w:rsid w:val="00321ECF"/>
    <w:rsid w:val="00322229"/>
    <w:rsid w:val="00322679"/>
    <w:rsid w:val="003227FF"/>
    <w:rsid w:val="00322E06"/>
    <w:rsid w:val="0032457C"/>
    <w:rsid w:val="003247C1"/>
    <w:rsid w:val="0032498B"/>
    <w:rsid w:val="003251D4"/>
    <w:rsid w:val="00325EA6"/>
    <w:rsid w:val="00326262"/>
    <w:rsid w:val="0032657A"/>
    <w:rsid w:val="003265ED"/>
    <w:rsid w:val="003267A5"/>
    <w:rsid w:val="00326F47"/>
    <w:rsid w:val="0032711B"/>
    <w:rsid w:val="00327452"/>
    <w:rsid w:val="00327597"/>
    <w:rsid w:val="003279BF"/>
    <w:rsid w:val="00327D98"/>
    <w:rsid w:val="00327FD7"/>
    <w:rsid w:val="0033014E"/>
    <w:rsid w:val="0033046D"/>
    <w:rsid w:val="003304D1"/>
    <w:rsid w:val="00330847"/>
    <w:rsid w:val="00330B20"/>
    <w:rsid w:val="00330E4C"/>
    <w:rsid w:val="00330E81"/>
    <w:rsid w:val="00331160"/>
    <w:rsid w:val="00331697"/>
    <w:rsid w:val="00331AED"/>
    <w:rsid w:val="003326C0"/>
    <w:rsid w:val="0033284A"/>
    <w:rsid w:val="00332985"/>
    <w:rsid w:val="003329F8"/>
    <w:rsid w:val="00332D6A"/>
    <w:rsid w:val="00332E4D"/>
    <w:rsid w:val="00333498"/>
    <w:rsid w:val="00333777"/>
    <w:rsid w:val="00333D00"/>
    <w:rsid w:val="00333E08"/>
    <w:rsid w:val="00335199"/>
    <w:rsid w:val="00335378"/>
    <w:rsid w:val="003356CB"/>
    <w:rsid w:val="003371DF"/>
    <w:rsid w:val="00337364"/>
    <w:rsid w:val="003377E1"/>
    <w:rsid w:val="003403B3"/>
    <w:rsid w:val="003403CC"/>
    <w:rsid w:val="003404B2"/>
    <w:rsid w:val="00341AB4"/>
    <w:rsid w:val="00341E57"/>
    <w:rsid w:val="00345165"/>
    <w:rsid w:val="00345842"/>
    <w:rsid w:val="00345D17"/>
    <w:rsid w:val="00345D53"/>
    <w:rsid w:val="00345F21"/>
    <w:rsid w:val="00346688"/>
    <w:rsid w:val="00346E0C"/>
    <w:rsid w:val="00346E5E"/>
    <w:rsid w:val="00347051"/>
    <w:rsid w:val="0034722E"/>
    <w:rsid w:val="003472DB"/>
    <w:rsid w:val="0034750A"/>
    <w:rsid w:val="00347EB7"/>
    <w:rsid w:val="00350A04"/>
    <w:rsid w:val="00350A66"/>
    <w:rsid w:val="00350E24"/>
    <w:rsid w:val="00350EC1"/>
    <w:rsid w:val="003516F0"/>
    <w:rsid w:val="00351800"/>
    <w:rsid w:val="00351B88"/>
    <w:rsid w:val="00352149"/>
    <w:rsid w:val="003526F2"/>
    <w:rsid w:val="0035270D"/>
    <w:rsid w:val="00352C6F"/>
    <w:rsid w:val="00352E4F"/>
    <w:rsid w:val="003530D7"/>
    <w:rsid w:val="003534D9"/>
    <w:rsid w:val="0035381B"/>
    <w:rsid w:val="00353D4D"/>
    <w:rsid w:val="0035410F"/>
    <w:rsid w:val="003544D7"/>
    <w:rsid w:val="003546B6"/>
    <w:rsid w:val="00354787"/>
    <w:rsid w:val="003550A1"/>
    <w:rsid w:val="0035623B"/>
    <w:rsid w:val="00356B38"/>
    <w:rsid w:val="0035707C"/>
    <w:rsid w:val="00357468"/>
    <w:rsid w:val="003574A6"/>
    <w:rsid w:val="003575CD"/>
    <w:rsid w:val="00357863"/>
    <w:rsid w:val="00357C3D"/>
    <w:rsid w:val="00360BFE"/>
    <w:rsid w:val="003614D6"/>
    <w:rsid w:val="00361DB2"/>
    <w:rsid w:val="00361F8B"/>
    <w:rsid w:val="00362850"/>
    <w:rsid w:val="0036373D"/>
    <w:rsid w:val="00364237"/>
    <w:rsid w:val="00364FC7"/>
    <w:rsid w:val="00365465"/>
    <w:rsid w:val="00365BEC"/>
    <w:rsid w:val="00366C8E"/>
    <w:rsid w:val="00366DBA"/>
    <w:rsid w:val="00367748"/>
    <w:rsid w:val="003706BD"/>
    <w:rsid w:val="00370BDB"/>
    <w:rsid w:val="003710EC"/>
    <w:rsid w:val="00371568"/>
    <w:rsid w:val="00371A52"/>
    <w:rsid w:val="00372040"/>
    <w:rsid w:val="00372B6E"/>
    <w:rsid w:val="00372BA5"/>
    <w:rsid w:val="003736AE"/>
    <w:rsid w:val="00373ED8"/>
    <w:rsid w:val="00374223"/>
    <w:rsid w:val="00374A17"/>
    <w:rsid w:val="00375224"/>
    <w:rsid w:val="00375DA7"/>
    <w:rsid w:val="00376818"/>
    <w:rsid w:val="00376978"/>
    <w:rsid w:val="00376AF4"/>
    <w:rsid w:val="003779C9"/>
    <w:rsid w:val="00380308"/>
    <w:rsid w:val="0038090B"/>
    <w:rsid w:val="00380A53"/>
    <w:rsid w:val="00381078"/>
    <w:rsid w:val="003811DC"/>
    <w:rsid w:val="00381930"/>
    <w:rsid w:val="00382021"/>
    <w:rsid w:val="00382CB3"/>
    <w:rsid w:val="0038352C"/>
    <w:rsid w:val="003838C2"/>
    <w:rsid w:val="00384E2C"/>
    <w:rsid w:val="003857DC"/>
    <w:rsid w:val="00385A80"/>
    <w:rsid w:val="00385B3B"/>
    <w:rsid w:val="00385B8C"/>
    <w:rsid w:val="003864D0"/>
    <w:rsid w:val="003866F1"/>
    <w:rsid w:val="00386C51"/>
    <w:rsid w:val="003870F3"/>
    <w:rsid w:val="00387766"/>
    <w:rsid w:val="00387967"/>
    <w:rsid w:val="0039029D"/>
    <w:rsid w:val="003902D9"/>
    <w:rsid w:val="00390B07"/>
    <w:rsid w:val="00391086"/>
    <w:rsid w:val="003912CB"/>
    <w:rsid w:val="003914DD"/>
    <w:rsid w:val="0039154E"/>
    <w:rsid w:val="00391A99"/>
    <w:rsid w:val="00391ADA"/>
    <w:rsid w:val="00392327"/>
    <w:rsid w:val="0039253A"/>
    <w:rsid w:val="00392590"/>
    <w:rsid w:val="0039270C"/>
    <w:rsid w:val="00392D18"/>
    <w:rsid w:val="003934B3"/>
    <w:rsid w:val="00393517"/>
    <w:rsid w:val="00394718"/>
    <w:rsid w:val="003948E0"/>
    <w:rsid w:val="00394912"/>
    <w:rsid w:val="00395684"/>
    <w:rsid w:val="003956B0"/>
    <w:rsid w:val="00396178"/>
    <w:rsid w:val="0039720A"/>
    <w:rsid w:val="0039727C"/>
    <w:rsid w:val="003975FC"/>
    <w:rsid w:val="00397875"/>
    <w:rsid w:val="00397DBA"/>
    <w:rsid w:val="00397E51"/>
    <w:rsid w:val="003A01FA"/>
    <w:rsid w:val="003A1034"/>
    <w:rsid w:val="003A1A28"/>
    <w:rsid w:val="003A1AEC"/>
    <w:rsid w:val="003A26F2"/>
    <w:rsid w:val="003A2CA1"/>
    <w:rsid w:val="003A340D"/>
    <w:rsid w:val="003A3866"/>
    <w:rsid w:val="003A3C53"/>
    <w:rsid w:val="003A3FD6"/>
    <w:rsid w:val="003A408F"/>
    <w:rsid w:val="003A459A"/>
    <w:rsid w:val="003A461A"/>
    <w:rsid w:val="003A545F"/>
    <w:rsid w:val="003A5823"/>
    <w:rsid w:val="003A62E3"/>
    <w:rsid w:val="003A6347"/>
    <w:rsid w:val="003A6639"/>
    <w:rsid w:val="003A6819"/>
    <w:rsid w:val="003A72AC"/>
    <w:rsid w:val="003A792D"/>
    <w:rsid w:val="003A7B59"/>
    <w:rsid w:val="003A7EBF"/>
    <w:rsid w:val="003B132F"/>
    <w:rsid w:val="003B13DA"/>
    <w:rsid w:val="003B1B86"/>
    <w:rsid w:val="003B1FB0"/>
    <w:rsid w:val="003B26CE"/>
    <w:rsid w:val="003B2CD8"/>
    <w:rsid w:val="003B3327"/>
    <w:rsid w:val="003B3610"/>
    <w:rsid w:val="003B3929"/>
    <w:rsid w:val="003B4107"/>
    <w:rsid w:val="003B4C01"/>
    <w:rsid w:val="003B5BF6"/>
    <w:rsid w:val="003B5C99"/>
    <w:rsid w:val="003B5EFB"/>
    <w:rsid w:val="003B6099"/>
    <w:rsid w:val="003B65D9"/>
    <w:rsid w:val="003B6743"/>
    <w:rsid w:val="003B67F9"/>
    <w:rsid w:val="003B6B5A"/>
    <w:rsid w:val="003B7DF9"/>
    <w:rsid w:val="003B7FA3"/>
    <w:rsid w:val="003C017B"/>
    <w:rsid w:val="003C041B"/>
    <w:rsid w:val="003C0B2F"/>
    <w:rsid w:val="003C1459"/>
    <w:rsid w:val="003C187D"/>
    <w:rsid w:val="003C206A"/>
    <w:rsid w:val="003C29E7"/>
    <w:rsid w:val="003C2C0B"/>
    <w:rsid w:val="003C3899"/>
    <w:rsid w:val="003C49C6"/>
    <w:rsid w:val="003C53A3"/>
    <w:rsid w:val="003C5E81"/>
    <w:rsid w:val="003C63EE"/>
    <w:rsid w:val="003C647D"/>
    <w:rsid w:val="003C6AC7"/>
    <w:rsid w:val="003C721C"/>
    <w:rsid w:val="003C7248"/>
    <w:rsid w:val="003C74D4"/>
    <w:rsid w:val="003C7563"/>
    <w:rsid w:val="003C7BC6"/>
    <w:rsid w:val="003D0175"/>
    <w:rsid w:val="003D0E50"/>
    <w:rsid w:val="003D176A"/>
    <w:rsid w:val="003D1787"/>
    <w:rsid w:val="003D25FC"/>
    <w:rsid w:val="003D2E10"/>
    <w:rsid w:val="003D33BF"/>
    <w:rsid w:val="003D3E45"/>
    <w:rsid w:val="003D4A52"/>
    <w:rsid w:val="003D6043"/>
    <w:rsid w:val="003D6955"/>
    <w:rsid w:val="003D697B"/>
    <w:rsid w:val="003D6A81"/>
    <w:rsid w:val="003D6C21"/>
    <w:rsid w:val="003D6EAD"/>
    <w:rsid w:val="003D768A"/>
    <w:rsid w:val="003D7BA6"/>
    <w:rsid w:val="003E0E07"/>
    <w:rsid w:val="003E11FA"/>
    <w:rsid w:val="003E1718"/>
    <w:rsid w:val="003E1983"/>
    <w:rsid w:val="003E1DB1"/>
    <w:rsid w:val="003E20DA"/>
    <w:rsid w:val="003E224F"/>
    <w:rsid w:val="003E25C0"/>
    <w:rsid w:val="003E263A"/>
    <w:rsid w:val="003E27C4"/>
    <w:rsid w:val="003E27F1"/>
    <w:rsid w:val="003E28D8"/>
    <w:rsid w:val="003E2DEF"/>
    <w:rsid w:val="003E3EE8"/>
    <w:rsid w:val="003E48E3"/>
    <w:rsid w:val="003E5302"/>
    <w:rsid w:val="003E56B7"/>
    <w:rsid w:val="003E5E12"/>
    <w:rsid w:val="003E5EC3"/>
    <w:rsid w:val="003E6486"/>
    <w:rsid w:val="003E651C"/>
    <w:rsid w:val="003E656D"/>
    <w:rsid w:val="003E698B"/>
    <w:rsid w:val="003E6B06"/>
    <w:rsid w:val="003E77B4"/>
    <w:rsid w:val="003F032A"/>
    <w:rsid w:val="003F0623"/>
    <w:rsid w:val="003F0BD3"/>
    <w:rsid w:val="003F0FF4"/>
    <w:rsid w:val="003F1191"/>
    <w:rsid w:val="003F15CB"/>
    <w:rsid w:val="003F1CC1"/>
    <w:rsid w:val="003F2932"/>
    <w:rsid w:val="003F2CA7"/>
    <w:rsid w:val="003F33FF"/>
    <w:rsid w:val="003F34D7"/>
    <w:rsid w:val="003F3690"/>
    <w:rsid w:val="003F36AD"/>
    <w:rsid w:val="003F36DA"/>
    <w:rsid w:val="003F404B"/>
    <w:rsid w:val="003F5BF2"/>
    <w:rsid w:val="003F6196"/>
    <w:rsid w:val="003F6419"/>
    <w:rsid w:val="003F6E3B"/>
    <w:rsid w:val="003F7C74"/>
    <w:rsid w:val="0040040F"/>
    <w:rsid w:val="00400B90"/>
    <w:rsid w:val="00401ABB"/>
    <w:rsid w:val="004021AC"/>
    <w:rsid w:val="00402271"/>
    <w:rsid w:val="00402B55"/>
    <w:rsid w:val="00402D30"/>
    <w:rsid w:val="00403090"/>
    <w:rsid w:val="004037A7"/>
    <w:rsid w:val="00404B5E"/>
    <w:rsid w:val="00405A39"/>
    <w:rsid w:val="00405AEB"/>
    <w:rsid w:val="00406004"/>
    <w:rsid w:val="00406383"/>
    <w:rsid w:val="00406A55"/>
    <w:rsid w:val="00406F1B"/>
    <w:rsid w:val="004101D2"/>
    <w:rsid w:val="0041093E"/>
    <w:rsid w:val="00410CF6"/>
    <w:rsid w:val="00410F72"/>
    <w:rsid w:val="004110A2"/>
    <w:rsid w:val="00411586"/>
    <w:rsid w:val="00411B1B"/>
    <w:rsid w:val="00412307"/>
    <w:rsid w:val="00412B3C"/>
    <w:rsid w:val="004131F8"/>
    <w:rsid w:val="00413214"/>
    <w:rsid w:val="004137B3"/>
    <w:rsid w:val="00413E3D"/>
    <w:rsid w:val="0041427A"/>
    <w:rsid w:val="00414352"/>
    <w:rsid w:val="004144CF"/>
    <w:rsid w:val="00414776"/>
    <w:rsid w:val="00414E59"/>
    <w:rsid w:val="00415799"/>
    <w:rsid w:val="004161D7"/>
    <w:rsid w:val="00416E3A"/>
    <w:rsid w:val="004170E1"/>
    <w:rsid w:val="004170EF"/>
    <w:rsid w:val="0041743B"/>
    <w:rsid w:val="004174CA"/>
    <w:rsid w:val="004175A1"/>
    <w:rsid w:val="004178DF"/>
    <w:rsid w:val="00417D58"/>
    <w:rsid w:val="0042000A"/>
    <w:rsid w:val="00420A18"/>
    <w:rsid w:val="00422068"/>
    <w:rsid w:val="004225D1"/>
    <w:rsid w:val="00422A3C"/>
    <w:rsid w:val="00422E0A"/>
    <w:rsid w:val="00422FF6"/>
    <w:rsid w:val="00423707"/>
    <w:rsid w:val="00423753"/>
    <w:rsid w:val="0042384E"/>
    <w:rsid w:val="00423AD8"/>
    <w:rsid w:val="00423E57"/>
    <w:rsid w:val="00423EE6"/>
    <w:rsid w:val="00424227"/>
    <w:rsid w:val="004249B9"/>
    <w:rsid w:val="00424F22"/>
    <w:rsid w:val="004257B7"/>
    <w:rsid w:val="00426403"/>
    <w:rsid w:val="00426C7F"/>
    <w:rsid w:val="00426E32"/>
    <w:rsid w:val="00427CA3"/>
    <w:rsid w:val="004302BC"/>
    <w:rsid w:val="00430328"/>
    <w:rsid w:val="00430CAC"/>
    <w:rsid w:val="00430FAA"/>
    <w:rsid w:val="004317E9"/>
    <w:rsid w:val="00431A41"/>
    <w:rsid w:val="004320B8"/>
    <w:rsid w:val="004325AB"/>
    <w:rsid w:val="00432B9C"/>
    <w:rsid w:val="004335EA"/>
    <w:rsid w:val="00433665"/>
    <w:rsid w:val="004336FC"/>
    <w:rsid w:val="00433A3A"/>
    <w:rsid w:val="00435411"/>
    <w:rsid w:val="00435437"/>
    <w:rsid w:val="004356A9"/>
    <w:rsid w:val="00435A42"/>
    <w:rsid w:val="00436175"/>
    <w:rsid w:val="004363AF"/>
    <w:rsid w:val="00436796"/>
    <w:rsid w:val="00437409"/>
    <w:rsid w:val="00437631"/>
    <w:rsid w:val="00437674"/>
    <w:rsid w:val="004376DB"/>
    <w:rsid w:val="0043777D"/>
    <w:rsid w:val="004379A0"/>
    <w:rsid w:val="00440147"/>
    <w:rsid w:val="0044023C"/>
    <w:rsid w:val="00440689"/>
    <w:rsid w:val="00440B85"/>
    <w:rsid w:val="00440E0B"/>
    <w:rsid w:val="00441982"/>
    <w:rsid w:val="00442459"/>
    <w:rsid w:val="004428AF"/>
    <w:rsid w:val="004428E5"/>
    <w:rsid w:val="00443210"/>
    <w:rsid w:val="004432BA"/>
    <w:rsid w:val="004436A3"/>
    <w:rsid w:val="00443995"/>
    <w:rsid w:val="004440CC"/>
    <w:rsid w:val="004442F8"/>
    <w:rsid w:val="00444842"/>
    <w:rsid w:val="00444929"/>
    <w:rsid w:val="00444FE4"/>
    <w:rsid w:val="004458FB"/>
    <w:rsid w:val="0044602C"/>
    <w:rsid w:val="00446088"/>
    <w:rsid w:val="00446C71"/>
    <w:rsid w:val="004471FB"/>
    <w:rsid w:val="00447227"/>
    <w:rsid w:val="0044763D"/>
    <w:rsid w:val="00450A0B"/>
    <w:rsid w:val="00450FEE"/>
    <w:rsid w:val="0045110F"/>
    <w:rsid w:val="00451E1C"/>
    <w:rsid w:val="00452458"/>
    <w:rsid w:val="00453AD9"/>
    <w:rsid w:val="00453E08"/>
    <w:rsid w:val="0045495A"/>
    <w:rsid w:val="00454C14"/>
    <w:rsid w:val="00455B0F"/>
    <w:rsid w:val="004563A3"/>
    <w:rsid w:val="0045665D"/>
    <w:rsid w:val="00456B8B"/>
    <w:rsid w:val="0045771A"/>
    <w:rsid w:val="004603A4"/>
    <w:rsid w:val="004607C3"/>
    <w:rsid w:val="0046099D"/>
    <w:rsid w:val="00460C64"/>
    <w:rsid w:val="004616EB"/>
    <w:rsid w:val="00462520"/>
    <w:rsid w:val="004631E4"/>
    <w:rsid w:val="00463724"/>
    <w:rsid w:val="00463941"/>
    <w:rsid w:val="00463AC9"/>
    <w:rsid w:val="00463F4D"/>
    <w:rsid w:val="004640A6"/>
    <w:rsid w:val="00464362"/>
    <w:rsid w:val="0046439B"/>
    <w:rsid w:val="0046487F"/>
    <w:rsid w:val="00464B76"/>
    <w:rsid w:val="00464D71"/>
    <w:rsid w:val="00464E08"/>
    <w:rsid w:val="0046597A"/>
    <w:rsid w:val="00465A8D"/>
    <w:rsid w:val="00465F36"/>
    <w:rsid w:val="00466C5F"/>
    <w:rsid w:val="00466DBA"/>
    <w:rsid w:val="004670F9"/>
    <w:rsid w:val="00467583"/>
    <w:rsid w:val="0046798C"/>
    <w:rsid w:val="00470232"/>
    <w:rsid w:val="004703F8"/>
    <w:rsid w:val="0047041F"/>
    <w:rsid w:val="004707FD"/>
    <w:rsid w:val="004714F7"/>
    <w:rsid w:val="004718BC"/>
    <w:rsid w:val="0047218A"/>
    <w:rsid w:val="00472623"/>
    <w:rsid w:val="004728BA"/>
    <w:rsid w:val="00472D35"/>
    <w:rsid w:val="00472E17"/>
    <w:rsid w:val="0047307B"/>
    <w:rsid w:val="004738B3"/>
    <w:rsid w:val="00473EE7"/>
    <w:rsid w:val="00474A57"/>
    <w:rsid w:val="004750A1"/>
    <w:rsid w:val="00475E8E"/>
    <w:rsid w:val="0047656A"/>
    <w:rsid w:val="00476FCA"/>
    <w:rsid w:val="00477AD1"/>
    <w:rsid w:val="00477C7D"/>
    <w:rsid w:val="00482245"/>
    <w:rsid w:val="00482BB7"/>
    <w:rsid w:val="00483470"/>
    <w:rsid w:val="00483860"/>
    <w:rsid w:val="004842CB"/>
    <w:rsid w:val="004846C0"/>
    <w:rsid w:val="00484711"/>
    <w:rsid w:val="004851BD"/>
    <w:rsid w:val="00485F3C"/>
    <w:rsid w:val="004860C3"/>
    <w:rsid w:val="00486344"/>
    <w:rsid w:val="0048648E"/>
    <w:rsid w:val="0048721E"/>
    <w:rsid w:val="00487CD1"/>
    <w:rsid w:val="00487F4C"/>
    <w:rsid w:val="0048AFFD"/>
    <w:rsid w:val="004900DC"/>
    <w:rsid w:val="00490238"/>
    <w:rsid w:val="00490339"/>
    <w:rsid w:val="004904DE"/>
    <w:rsid w:val="004907EB"/>
    <w:rsid w:val="00490993"/>
    <w:rsid w:val="00490A10"/>
    <w:rsid w:val="00490E59"/>
    <w:rsid w:val="00491583"/>
    <w:rsid w:val="0049272B"/>
    <w:rsid w:val="0049295F"/>
    <w:rsid w:val="0049300C"/>
    <w:rsid w:val="004936BE"/>
    <w:rsid w:val="00493BE3"/>
    <w:rsid w:val="00493BE6"/>
    <w:rsid w:val="00494930"/>
    <w:rsid w:val="00494A47"/>
    <w:rsid w:val="00494A5E"/>
    <w:rsid w:val="00494E1C"/>
    <w:rsid w:val="00494F3E"/>
    <w:rsid w:val="0049593C"/>
    <w:rsid w:val="00495A2A"/>
    <w:rsid w:val="00495A65"/>
    <w:rsid w:val="0049657E"/>
    <w:rsid w:val="004966D4"/>
    <w:rsid w:val="004976DB"/>
    <w:rsid w:val="00497937"/>
    <w:rsid w:val="004A0035"/>
    <w:rsid w:val="004A0954"/>
    <w:rsid w:val="004A120E"/>
    <w:rsid w:val="004A1711"/>
    <w:rsid w:val="004A182C"/>
    <w:rsid w:val="004A1D3C"/>
    <w:rsid w:val="004A20E2"/>
    <w:rsid w:val="004A247E"/>
    <w:rsid w:val="004A36B4"/>
    <w:rsid w:val="004A3CFF"/>
    <w:rsid w:val="004A3E4D"/>
    <w:rsid w:val="004A41BC"/>
    <w:rsid w:val="004A4696"/>
    <w:rsid w:val="004A6091"/>
    <w:rsid w:val="004A6108"/>
    <w:rsid w:val="004A6384"/>
    <w:rsid w:val="004A690D"/>
    <w:rsid w:val="004A69EF"/>
    <w:rsid w:val="004A6F63"/>
    <w:rsid w:val="004A754D"/>
    <w:rsid w:val="004A7C1C"/>
    <w:rsid w:val="004A7F7A"/>
    <w:rsid w:val="004B059C"/>
    <w:rsid w:val="004B0D9B"/>
    <w:rsid w:val="004B0E5B"/>
    <w:rsid w:val="004B1363"/>
    <w:rsid w:val="004B17BF"/>
    <w:rsid w:val="004B237B"/>
    <w:rsid w:val="004B28F1"/>
    <w:rsid w:val="004B29D2"/>
    <w:rsid w:val="004B2D73"/>
    <w:rsid w:val="004B32E2"/>
    <w:rsid w:val="004B3796"/>
    <w:rsid w:val="004B3BF1"/>
    <w:rsid w:val="004B4321"/>
    <w:rsid w:val="004B48B8"/>
    <w:rsid w:val="004B52AE"/>
    <w:rsid w:val="004B5A78"/>
    <w:rsid w:val="004B642A"/>
    <w:rsid w:val="004B6AE7"/>
    <w:rsid w:val="004B7EE5"/>
    <w:rsid w:val="004C05E3"/>
    <w:rsid w:val="004C0F85"/>
    <w:rsid w:val="004C157A"/>
    <w:rsid w:val="004C1665"/>
    <w:rsid w:val="004C2171"/>
    <w:rsid w:val="004C22DE"/>
    <w:rsid w:val="004C251E"/>
    <w:rsid w:val="004C27AD"/>
    <w:rsid w:val="004C295E"/>
    <w:rsid w:val="004C314B"/>
    <w:rsid w:val="004C394A"/>
    <w:rsid w:val="004C3BA3"/>
    <w:rsid w:val="004C3D14"/>
    <w:rsid w:val="004C507C"/>
    <w:rsid w:val="004D0127"/>
    <w:rsid w:val="004D0B67"/>
    <w:rsid w:val="004D1157"/>
    <w:rsid w:val="004D118C"/>
    <w:rsid w:val="004D1681"/>
    <w:rsid w:val="004D2D19"/>
    <w:rsid w:val="004D38A0"/>
    <w:rsid w:val="004D39D9"/>
    <w:rsid w:val="004D4F36"/>
    <w:rsid w:val="004D56DA"/>
    <w:rsid w:val="004D5D7B"/>
    <w:rsid w:val="004D5F6E"/>
    <w:rsid w:val="004D5F76"/>
    <w:rsid w:val="004D67F7"/>
    <w:rsid w:val="004D6A3D"/>
    <w:rsid w:val="004D6C11"/>
    <w:rsid w:val="004D7418"/>
    <w:rsid w:val="004D7BD6"/>
    <w:rsid w:val="004D7C7F"/>
    <w:rsid w:val="004D7D1E"/>
    <w:rsid w:val="004E04FF"/>
    <w:rsid w:val="004E0711"/>
    <w:rsid w:val="004E1C69"/>
    <w:rsid w:val="004E20D7"/>
    <w:rsid w:val="004E2635"/>
    <w:rsid w:val="004E272F"/>
    <w:rsid w:val="004E2A95"/>
    <w:rsid w:val="004E323B"/>
    <w:rsid w:val="004E328C"/>
    <w:rsid w:val="004E3512"/>
    <w:rsid w:val="004E387B"/>
    <w:rsid w:val="004E39CE"/>
    <w:rsid w:val="004E3C8E"/>
    <w:rsid w:val="004E40FD"/>
    <w:rsid w:val="004E4155"/>
    <w:rsid w:val="004E431C"/>
    <w:rsid w:val="004E59BE"/>
    <w:rsid w:val="004E59CE"/>
    <w:rsid w:val="004E5C1C"/>
    <w:rsid w:val="004E5F90"/>
    <w:rsid w:val="004E61C9"/>
    <w:rsid w:val="004F0764"/>
    <w:rsid w:val="004F145F"/>
    <w:rsid w:val="004F1A38"/>
    <w:rsid w:val="004F1B3B"/>
    <w:rsid w:val="004F24F8"/>
    <w:rsid w:val="004F26D8"/>
    <w:rsid w:val="004F28BB"/>
    <w:rsid w:val="004F35F9"/>
    <w:rsid w:val="004F3739"/>
    <w:rsid w:val="004F432C"/>
    <w:rsid w:val="004F4390"/>
    <w:rsid w:val="004F51CB"/>
    <w:rsid w:val="004F52AF"/>
    <w:rsid w:val="004F54E7"/>
    <w:rsid w:val="004F57E3"/>
    <w:rsid w:val="004F5C02"/>
    <w:rsid w:val="004F62BB"/>
    <w:rsid w:val="004F66D9"/>
    <w:rsid w:val="004F6CF0"/>
    <w:rsid w:val="004F6F4C"/>
    <w:rsid w:val="004F74B9"/>
    <w:rsid w:val="004F7BD9"/>
    <w:rsid w:val="005001F5"/>
    <w:rsid w:val="00500B5C"/>
    <w:rsid w:val="00500CEF"/>
    <w:rsid w:val="00501246"/>
    <w:rsid w:val="005012D7"/>
    <w:rsid w:val="005018F1"/>
    <w:rsid w:val="00501C10"/>
    <w:rsid w:val="00501C53"/>
    <w:rsid w:val="00501C75"/>
    <w:rsid w:val="00501E7D"/>
    <w:rsid w:val="00502319"/>
    <w:rsid w:val="005030FF"/>
    <w:rsid w:val="0050401D"/>
    <w:rsid w:val="0050416E"/>
    <w:rsid w:val="00504263"/>
    <w:rsid w:val="00504751"/>
    <w:rsid w:val="00504E95"/>
    <w:rsid w:val="00505A94"/>
    <w:rsid w:val="00505E01"/>
    <w:rsid w:val="00507853"/>
    <w:rsid w:val="00507C85"/>
    <w:rsid w:val="0051060F"/>
    <w:rsid w:val="00510C87"/>
    <w:rsid w:val="005118E5"/>
    <w:rsid w:val="00511DB6"/>
    <w:rsid w:val="00511E24"/>
    <w:rsid w:val="00511F43"/>
    <w:rsid w:val="00511F77"/>
    <w:rsid w:val="0051280F"/>
    <w:rsid w:val="00512B4B"/>
    <w:rsid w:val="00512E9D"/>
    <w:rsid w:val="00513F62"/>
    <w:rsid w:val="00514202"/>
    <w:rsid w:val="0051518A"/>
    <w:rsid w:val="0051624D"/>
    <w:rsid w:val="00516B5A"/>
    <w:rsid w:val="00516B92"/>
    <w:rsid w:val="00516F71"/>
    <w:rsid w:val="005170F0"/>
    <w:rsid w:val="00517526"/>
    <w:rsid w:val="00520158"/>
    <w:rsid w:val="00520ADD"/>
    <w:rsid w:val="00520BCD"/>
    <w:rsid w:val="00520F9E"/>
    <w:rsid w:val="005210B6"/>
    <w:rsid w:val="005212AF"/>
    <w:rsid w:val="005217AB"/>
    <w:rsid w:val="00521DE3"/>
    <w:rsid w:val="005220E2"/>
    <w:rsid w:val="005221B8"/>
    <w:rsid w:val="005224BA"/>
    <w:rsid w:val="00522766"/>
    <w:rsid w:val="00522EB5"/>
    <w:rsid w:val="005231B3"/>
    <w:rsid w:val="0052347B"/>
    <w:rsid w:val="00523811"/>
    <w:rsid w:val="0052438E"/>
    <w:rsid w:val="00524436"/>
    <w:rsid w:val="0052483B"/>
    <w:rsid w:val="00524BE4"/>
    <w:rsid w:val="00525195"/>
    <w:rsid w:val="005263E8"/>
    <w:rsid w:val="00526617"/>
    <w:rsid w:val="005279E1"/>
    <w:rsid w:val="00527B0E"/>
    <w:rsid w:val="00530B75"/>
    <w:rsid w:val="00530FAA"/>
    <w:rsid w:val="005312E2"/>
    <w:rsid w:val="0053167D"/>
    <w:rsid w:val="00531683"/>
    <w:rsid w:val="00531824"/>
    <w:rsid w:val="00532012"/>
    <w:rsid w:val="00532222"/>
    <w:rsid w:val="005325C5"/>
    <w:rsid w:val="00532975"/>
    <w:rsid w:val="00532E80"/>
    <w:rsid w:val="0053314B"/>
    <w:rsid w:val="005333AC"/>
    <w:rsid w:val="0053369A"/>
    <w:rsid w:val="00533DD1"/>
    <w:rsid w:val="00534104"/>
    <w:rsid w:val="00534664"/>
    <w:rsid w:val="00534738"/>
    <w:rsid w:val="00534EEF"/>
    <w:rsid w:val="00535470"/>
    <w:rsid w:val="005359CE"/>
    <w:rsid w:val="00535B43"/>
    <w:rsid w:val="00535C46"/>
    <w:rsid w:val="0053650F"/>
    <w:rsid w:val="00536A24"/>
    <w:rsid w:val="005370A3"/>
    <w:rsid w:val="005377AF"/>
    <w:rsid w:val="0053799E"/>
    <w:rsid w:val="0054027E"/>
    <w:rsid w:val="00540AAD"/>
    <w:rsid w:val="00540D4D"/>
    <w:rsid w:val="00540D4E"/>
    <w:rsid w:val="005413C5"/>
    <w:rsid w:val="005426B1"/>
    <w:rsid w:val="00542D63"/>
    <w:rsid w:val="0054376A"/>
    <w:rsid w:val="00543782"/>
    <w:rsid w:val="00543882"/>
    <w:rsid w:val="005438B8"/>
    <w:rsid w:val="00543B46"/>
    <w:rsid w:val="00544556"/>
    <w:rsid w:val="005446C9"/>
    <w:rsid w:val="005448B8"/>
    <w:rsid w:val="005451C4"/>
    <w:rsid w:val="00545729"/>
    <w:rsid w:val="00545F2C"/>
    <w:rsid w:val="005460CB"/>
    <w:rsid w:val="00546324"/>
    <w:rsid w:val="005465C4"/>
    <w:rsid w:val="00546AC6"/>
    <w:rsid w:val="00546F56"/>
    <w:rsid w:val="00547C9F"/>
    <w:rsid w:val="00547E53"/>
    <w:rsid w:val="005500E3"/>
    <w:rsid w:val="005502D6"/>
    <w:rsid w:val="00550A40"/>
    <w:rsid w:val="00550DD7"/>
    <w:rsid w:val="005512FA"/>
    <w:rsid w:val="00551C03"/>
    <w:rsid w:val="00552032"/>
    <w:rsid w:val="00552A48"/>
    <w:rsid w:val="0055328E"/>
    <w:rsid w:val="00553463"/>
    <w:rsid w:val="00553608"/>
    <w:rsid w:val="0055379D"/>
    <w:rsid w:val="00553AE4"/>
    <w:rsid w:val="005548D4"/>
    <w:rsid w:val="00554BEF"/>
    <w:rsid w:val="00554DD6"/>
    <w:rsid w:val="00555D1A"/>
    <w:rsid w:val="00557E49"/>
    <w:rsid w:val="005600AA"/>
    <w:rsid w:val="005604B3"/>
    <w:rsid w:val="005613A6"/>
    <w:rsid w:val="005616B9"/>
    <w:rsid w:val="0056215D"/>
    <w:rsid w:val="0056262B"/>
    <w:rsid w:val="0056277F"/>
    <w:rsid w:val="005634FF"/>
    <w:rsid w:val="00563701"/>
    <w:rsid w:val="00563866"/>
    <w:rsid w:val="005638DB"/>
    <w:rsid w:val="00563DA3"/>
    <w:rsid w:val="005642CC"/>
    <w:rsid w:val="00564AEA"/>
    <w:rsid w:val="00564DF9"/>
    <w:rsid w:val="0056544F"/>
    <w:rsid w:val="0056549A"/>
    <w:rsid w:val="0056565F"/>
    <w:rsid w:val="00566044"/>
    <w:rsid w:val="00567217"/>
    <w:rsid w:val="005674C5"/>
    <w:rsid w:val="00571425"/>
    <w:rsid w:val="00571C23"/>
    <w:rsid w:val="0057205E"/>
    <w:rsid w:val="005723FC"/>
    <w:rsid w:val="0057325C"/>
    <w:rsid w:val="00573640"/>
    <w:rsid w:val="005742F7"/>
    <w:rsid w:val="0057498D"/>
    <w:rsid w:val="00574DF8"/>
    <w:rsid w:val="00576A0B"/>
    <w:rsid w:val="00576C7C"/>
    <w:rsid w:val="0057704C"/>
    <w:rsid w:val="0057715E"/>
    <w:rsid w:val="00577558"/>
    <w:rsid w:val="00577791"/>
    <w:rsid w:val="0057799B"/>
    <w:rsid w:val="005779C4"/>
    <w:rsid w:val="005815CE"/>
    <w:rsid w:val="00581AF1"/>
    <w:rsid w:val="005833D3"/>
    <w:rsid w:val="00584FD2"/>
    <w:rsid w:val="00586D83"/>
    <w:rsid w:val="00587225"/>
    <w:rsid w:val="00590755"/>
    <w:rsid w:val="00590B77"/>
    <w:rsid w:val="005915EC"/>
    <w:rsid w:val="005916DB"/>
    <w:rsid w:val="0059184B"/>
    <w:rsid w:val="00592924"/>
    <w:rsid w:val="00592E86"/>
    <w:rsid w:val="00592F1E"/>
    <w:rsid w:val="00593CF1"/>
    <w:rsid w:val="00593D8F"/>
    <w:rsid w:val="00593FE6"/>
    <w:rsid w:val="005940A4"/>
    <w:rsid w:val="005944D7"/>
    <w:rsid w:val="00594C3B"/>
    <w:rsid w:val="00594CD4"/>
    <w:rsid w:val="00594E29"/>
    <w:rsid w:val="0059538C"/>
    <w:rsid w:val="00595491"/>
    <w:rsid w:val="005954F1"/>
    <w:rsid w:val="00595676"/>
    <w:rsid w:val="00595E48"/>
    <w:rsid w:val="0059613A"/>
    <w:rsid w:val="0059655B"/>
    <w:rsid w:val="00596575"/>
    <w:rsid w:val="00596B21"/>
    <w:rsid w:val="00597282"/>
    <w:rsid w:val="00597602"/>
    <w:rsid w:val="00597A83"/>
    <w:rsid w:val="00597E20"/>
    <w:rsid w:val="005A02A3"/>
    <w:rsid w:val="005A0B43"/>
    <w:rsid w:val="005A18C9"/>
    <w:rsid w:val="005A1B02"/>
    <w:rsid w:val="005A1BF7"/>
    <w:rsid w:val="005A1F45"/>
    <w:rsid w:val="005A24F5"/>
    <w:rsid w:val="005A2720"/>
    <w:rsid w:val="005A2D9C"/>
    <w:rsid w:val="005A3299"/>
    <w:rsid w:val="005A32F8"/>
    <w:rsid w:val="005A4304"/>
    <w:rsid w:val="005A449F"/>
    <w:rsid w:val="005A4B3A"/>
    <w:rsid w:val="005A53D1"/>
    <w:rsid w:val="005A5C16"/>
    <w:rsid w:val="005A5E46"/>
    <w:rsid w:val="005A6035"/>
    <w:rsid w:val="005A70ED"/>
    <w:rsid w:val="005A71A5"/>
    <w:rsid w:val="005A7FF4"/>
    <w:rsid w:val="005B0A3E"/>
    <w:rsid w:val="005B0B0E"/>
    <w:rsid w:val="005B0E38"/>
    <w:rsid w:val="005B167D"/>
    <w:rsid w:val="005B16C3"/>
    <w:rsid w:val="005B1FDB"/>
    <w:rsid w:val="005B22B1"/>
    <w:rsid w:val="005B22EF"/>
    <w:rsid w:val="005B23FB"/>
    <w:rsid w:val="005B2527"/>
    <w:rsid w:val="005B2573"/>
    <w:rsid w:val="005B3458"/>
    <w:rsid w:val="005B3F3F"/>
    <w:rsid w:val="005B4067"/>
    <w:rsid w:val="005B45BB"/>
    <w:rsid w:val="005B51C0"/>
    <w:rsid w:val="005B5B87"/>
    <w:rsid w:val="005B5EF6"/>
    <w:rsid w:val="005B6ABC"/>
    <w:rsid w:val="005B6FE3"/>
    <w:rsid w:val="005B71BC"/>
    <w:rsid w:val="005B72A3"/>
    <w:rsid w:val="005B72CD"/>
    <w:rsid w:val="005B7B10"/>
    <w:rsid w:val="005C02ED"/>
    <w:rsid w:val="005C094B"/>
    <w:rsid w:val="005C0AF5"/>
    <w:rsid w:val="005C0B5F"/>
    <w:rsid w:val="005C0EE2"/>
    <w:rsid w:val="005C11B7"/>
    <w:rsid w:val="005C200C"/>
    <w:rsid w:val="005C2072"/>
    <w:rsid w:val="005C25ED"/>
    <w:rsid w:val="005C2978"/>
    <w:rsid w:val="005C2ADF"/>
    <w:rsid w:val="005C2B46"/>
    <w:rsid w:val="005C2D51"/>
    <w:rsid w:val="005C2F8B"/>
    <w:rsid w:val="005C3359"/>
    <w:rsid w:val="005C4A3B"/>
    <w:rsid w:val="005C4EFB"/>
    <w:rsid w:val="005C525B"/>
    <w:rsid w:val="005C54BF"/>
    <w:rsid w:val="005C55A9"/>
    <w:rsid w:val="005C569E"/>
    <w:rsid w:val="005C5709"/>
    <w:rsid w:val="005C643E"/>
    <w:rsid w:val="005C69F8"/>
    <w:rsid w:val="005C6A22"/>
    <w:rsid w:val="005C6A2F"/>
    <w:rsid w:val="005C6CD5"/>
    <w:rsid w:val="005C6EA2"/>
    <w:rsid w:val="005C6F9C"/>
    <w:rsid w:val="005C7833"/>
    <w:rsid w:val="005C7B5D"/>
    <w:rsid w:val="005D011D"/>
    <w:rsid w:val="005D08E8"/>
    <w:rsid w:val="005D0FE7"/>
    <w:rsid w:val="005D102F"/>
    <w:rsid w:val="005D1715"/>
    <w:rsid w:val="005D1A2E"/>
    <w:rsid w:val="005D1B18"/>
    <w:rsid w:val="005D36AF"/>
    <w:rsid w:val="005D3A89"/>
    <w:rsid w:val="005D4679"/>
    <w:rsid w:val="005D4AEB"/>
    <w:rsid w:val="005D5C3A"/>
    <w:rsid w:val="005D5C6B"/>
    <w:rsid w:val="005D6689"/>
    <w:rsid w:val="005D6BCC"/>
    <w:rsid w:val="005D76AF"/>
    <w:rsid w:val="005D79C0"/>
    <w:rsid w:val="005E0532"/>
    <w:rsid w:val="005E1300"/>
    <w:rsid w:val="005E1E3A"/>
    <w:rsid w:val="005E22E5"/>
    <w:rsid w:val="005E25DA"/>
    <w:rsid w:val="005E2CB6"/>
    <w:rsid w:val="005E3AEE"/>
    <w:rsid w:val="005E3D87"/>
    <w:rsid w:val="005E56A0"/>
    <w:rsid w:val="005E5DF6"/>
    <w:rsid w:val="005E60D9"/>
    <w:rsid w:val="005F00A2"/>
    <w:rsid w:val="005F06BB"/>
    <w:rsid w:val="005F098E"/>
    <w:rsid w:val="005F0BD6"/>
    <w:rsid w:val="005F1344"/>
    <w:rsid w:val="005F140C"/>
    <w:rsid w:val="005F1790"/>
    <w:rsid w:val="005F1A03"/>
    <w:rsid w:val="005F20B4"/>
    <w:rsid w:val="005F2135"/>
    <w:rsid w:val="005F2204"/>
    <w:rsid w:val="005F29CA"/>
    <w:rsid w:val="005F2A2C"/>
    <w:rsid w:val="005F2C5E"/>
    <w:rsid w:val="005F314E"/>
    <w:rsid w:val="005F3589"/>
    <w:rsid w:val="005F35E2"/>
    <w:rsid w:val="005F388B"/>
    <w:rsid w:val="005F4515"/>
    <w:rsid w:val="005F500E"/>
    <w:rsid w:val="005F61B0"/>
    <w:rsid w:val="005F65A0"/>
    <w:rsid w:val="005F672A"/>
    <w:rsid w:val="005F70C6"/>
    <w:rsid w:val="005F716B"/>
    <w:rsid w:val="005F7604"/>
    <w:rsid w:val="005F7905"/>
    <w:rsid w:val="006000EF"/>
    <w:rsid w:val="006003A2"/>
    <w:rsid w:val="00601833"/>
    <w:rsid w:val="00601E2E"/>
    <w:rsid w:val="00602100"/>
    <w:rsid w:val="00602139"/>
    <w:rsid w:val="0060233D"/>
    <w:rsid w:val="00602447"/>
    <w:rsid w:val="006024CC"/>
    <w:rsid w:val="0060365E"/>
    <w:rsid w:val="0060394C"/>
    <w:rsid w:val="00604138"/>
    <w:rsid w:val="0060440B"/>
    <w:rsid w:val="0060462C"/>
    <w:rsid w:val="00605026"/>
    <w:rsid w:val="00605049"/>
    <w:rsid w:val="00605F0B"/>
    <w:rsid w:val="00606001"/>
    <w:rsid w:val="00606083"/>
    <w:rsid w:val="00606511"/>
    <w:rsid w:val="00606830"/>
    <w:rsid w:val="00607CC6"/>
    <w:rsid w:val="00607D79"/>
    <w:rsid w:val="006100F4"/>
    <w:rsid w:val="00610455"/>
    <w:rsid w:val="006105CF"/>
    <w:rsid w:val="00610F71"/>
    <w:rsid w:val="00611A38"/>
    <w:rsid w:val="006126A2"/>
    <w:rsid w:val="006129F0"/>
    <w:rsid w:val="00612C0F"/>
    <w:rsid w:val="00612F1A"/>
    <w:rsid w:val="006130AC"/>
    <w:rsid w:val="00613BBB"/>
    <w:rsid w:val="00614981"/>
    <w:rsid w:val="00614C13"/>
    <w:rsid w:val="006151BD"/>
    <w:rsid w:val="00615690"/>
    <w:rsid w:val="00616008"/>
    <w:rsid w:val="00616B49"/>
    <w:rsid w:val="00616D59"/>
    <w:rsid w:val="00616E27"/>
    <w:rsid w:val="006172AA"/>
    <w:rsid w:val="00617637"/>
    <w:rsid w:val="00617C99"/>
    <w:rsid w:val="006207F4"/>
    <w:rsid w:val="00621011"/>
    <w:rsid w:val="00621327"/>
    <w:rsid w:val="00621845"/>
    <w:rsid w:val="00621D69"/>
    <w:rsid w:val="0062214C"/>
    <w:rsid w:val="006221B5"/>
    <w:rsid w:val="0062291C"/>
    <w:rsid w:val="00622D73"/>
    <w:rsid w:val="00622FF5"/>
    <w:rsid w:val="006233A0"/>
    <w:rsid w:val="006237BA"/>
    <w:rsid w:val="0062415D"/>
    <w:rsid w:val="0062439E"/>
    <w:rsid w:val="006245A1"/>
    <w:rsid w:val="00624757"/>
    <w:rsid w:val="00624D3B"/>
    <w:rsid w:val="00624DBD"/>
    <w:rsid w:val="00624F94"/>
    <w:rsid w:val="006255A7"/>
    <w:rsid w:val="00625C0E"/>
    <w:rsid w:val="006264C3"/>
    <w:rsid w:val="006266DF"/>
    <w:rsid w:val="00626D0B"/>
    <w:rsid w:val="0063098A"/>
    <w:rsid w:val="00632180"/>
    <w:rsid w:val="006326A3"/>
    <w:rsid w:val="00632796"/>
    <w:rsid w:val="006331B8"/>
    <w:rsid w:val="006336B2"/>
    <w:rsid w:val="006341E3"/>
    <w:rsid w:val="00635236"/>
    <w:rsid w:val="00635320"/>
    <w:rsid w:val="00635583"/>
    <w:rsid w:val="00636048"/>
    <w:rsid w:val="006360C7"/>
    <w:rsid w:val="006363D2"/>
    <w:rsid w:val="00636BC7"/>
    <w:rsid w:val="006370F1"/>
    <w:rsid w:val="006373D3"/>
    <w:rsid w:val="00637A13"/>
    <w:rsid w:val="006400F1"/>
    <w:rsid w:val="00640B36"/>
    <w:rsid w:val="00640F4B"/>
    <w:rsid w:val="006419E4"/>
    <w:rsid w:val="00641A90"/>
    <w:rsid w:val="006431F4"/>
    <w:rsid w:val="006435DE"/>
    <w:rsid w:val="00643AF0"/>
    <w:rsid w:val="00643CAC"/>
    <w:rsid w:val="006459D9"/>
    <w:rsid w:val="00645C1D"/>
    <w:rsid w:val="00645CBF"/>
    <w:rsid w:val="00646075"/>
    <w:rsid w:val="00646BEA"/>
    <w:rsid w:val="00646F51"/>
    <w:rsid w:val="006474BB"/>
    <w:rsid w:val="00647A99"/>
    <w:rsid w:val="006500DD"/>
    <w:rsid w:val="00650308"/>
    <w:rsid w:val="00650552"/>
    <w:rsid w:val="0065063D"/>
    <w:rsid w:val="00650A88"/>
    <w:rsid w:val="00650F0F"/>
    <w:rsid w:val="0065134F"/>
    <w:rsid w:val="006518AE"/>
    <w:rsid w:val="0065225A"/>
    <w:rsid w:val="0065227A"/>
    <w:rsid w:val="00652ACB"/>
    <w:rsid w:val="006539A0"/>
    <w:rsid w:val="00653CFC"/>
    <w:rsid w:val="00653FAC"/>
    <w:rsid w:val="006542C9"/>
    <w:rsid w:val="0065588A"/>
    <w:rsid w:val="00655DF7"/>
    <w:rsid w:val="00655EE2"/>
    <w:rsid w:val="00656AF8"/>
    <w:rsid w:val="00656B12"/>
    <w:rsid w:val="0065746F"/>
    <w:rsid w:val="0065762B"/>
    <w:rsid w:val="006579C5"/>
    <w:rsid w:val="00657A7E"/>
    <w:rsid w:val="00657BA8"/>
    <w:rsid w:val="00657E72"/>
    <w:rsid w:val="00661FE9"/>
    <w:rsid w:val="006621CC"/>
    <w:rsid w:val="0066392F"/>
    <w:rsid w:val="00663A9A"/>
    <w:rsid w:val="006641D2"/>
    <w:rsid w:val="00664237"/>
    <w:rsid w:val="00664284"/>
    <w:rsid w:val="006644C8"/>
    <w:rsid w:val="0066461C"/>
    <w:rsid w:val="006647A3"/>
    <w:rsid w:val="00664846"/>
    <w:rsid w:val="00664873"/>
    <w:rsid w:val="006648D2"/>
    <w:rsid w:val="00664B5A"/>
    <w:rsid w:val="00664C01"/>
    <w:rsid w:val="0066519F"/>
    <w:rsid w:val="006651F1"/>
    <w:rsid w:val="00665AD9"/>
    <w:rsid w:val="00665C37"/>
    <w:rsid w:val="00665D57"/>
    <w:rsid w:val="006661BB"/>
    <w:rsid w:val="00666EF9"/>
    <w:rsid w:val="006670EF"/>
    <w:rsid w:val="0066718C"/>
    <w:rsid w:val="006676CE"/>
    <w:rsid w:val="00667750"/>
    <w:rsid w:val="00670714"/>
    <w:rsid w:val="00670A8D"/>
    <w:rsid w:val="00670D28"/>
    <w:rsid w:val="00670E39"/>
    <w:rsid w:val="00670F74"/>
    <w:rsid w:val="00670F86"/>
    <w:rsid w:val="006717E8"/>
    <w:rsid w:val="00672118"/>
    <w:rsid w:val="00672597"/>
    <w:rsid w:val="00672C6F"/>
    <w:rsid w:val="006733B7"/>
    <w:rsid w:val="0067363D"/>
    <w:rsid w:val="00673A17"/>
    <w:rsid w:val="00673BB9"/>
    <w:rsid w:val="006744E8"/>
    <w:rsid w:val="0067456F"/>
    <w:rsid w:val="0067476C"/>
    <w:rsid w:val="00674CC9"/>
    <w:rsid w:val="00674CD4"/>
    <w:rsid w:val="00674F6B"/>
    <w:rsid w:val="0067650C"/>
    <w:rsid w:val="00676707"/>
    <w:rsid w:val="00677F3D"/>
    <w:rsid w:val="00680F93"/>
    <w:rsid w:val="0068112C"/>
    <w:rsid w:val="006817AA"/>
    <w:rsid w:val="00681FE7"/>
    <w:rsid w:val="006823B5"/>
    <w:rsid w:val="006827B1"/>
    <w:rsid w:val="006828A5"/>
    <w:rsid w:val="00683704"/>
    <w:rsid w:val="006838F1"/>
    <w:rsid w:val="006839DB"/>
    <w:rsid w:val="00683B19"/>
    <w:rsid w:val="00683C0E"/>
    <w:rsid w:val="00683DF2"/>
    <w:rsid w:val="006841A9"/>
    <w:rsid w:val="00684AE3"/>
    <w:rsid w:val="00685785"/>
    <w:rsid w:val="00685948"/>
    <w:rsid w:val="0068624F"/>
    <w:rsid w:val="0068697B"/>
    <w:rsid w:val="006875EE"/>
    <w:rsid w:val="00687C07"/>
    <w:rsid w:val="00690CAF"/>
    <w:rsid w:val="00690CB9"/>
    <w:rsid w:val="00690DAA"/>
    <w:rsid w:val="006916DD"/>
    <w:rsid w:val="00691A7D"/>
    <w:rsid w:val="006921D5"/>
    <w:rsid w:val="006926F7"/>
    <w:rsid w:val="00692A44"/>
    <w:rsid w:val="00692C1E"/>
    <w:rsid w:val="006939F1"/>
    <w:rsid w:val="0069405E"/>
    <w:rsid w:val="006946F3"/>
    <w:rsid w:val="0069527B"/>
    <w:rsid w:val="00695DF9"/>
    <w:rsid w:val="00695ECA"/>
    <w:rsid w:val="00696E78"/>
    <w:rsid w:val="0069731A"/>
    <w:rsid w:val="00697CBA"/>
    <w:rsid w:val="006A046F"/>
    <w:rsid w:val="006A0631"/>
    <w:rsid w:val="006A0A3E"/>
    <w:rsid w:val="006A0A7E"/>
    <w:rsid w:val="006A0DC3"/>
    <w:rsid w:val="006A1070"/>
    <w:rsid w:val="006A119D"/>
    <w:rsid w:val="006A14DD"/>
    <w:rsid w:val="006A1E0C"/>
    <w:rsid w:val="006A23CF"/>
    <w:rsid w:val="006A24F2"/>
    <w:rsid w:val="006A2707"/>
    <w:rsid w:val="006A2784"/>
    <w:rsid w:val="006A296B"/>
    <w:rsid w:val="006A2B11"/>
    <w:rsid w:val="006A2EF0"/>
    <w:rsid w:val="006A2FA3"/>
    <w:rsid w:val="006A3A9F"/>
    <w:rsid w:val="006A3F70"/>
    <w:rsid w:val="006A4734"/>
    <w:rsid w:val="006A4A8C"/>
    <w:rsid w:val="006A4AF7"/>
    <w:rsid w:val="006A4C71"/>
    <w:rsid w:val="006A4D5D"/>
    <w:rsid w:val="006A5847"/>
    <w:rsid w:val="006A5D61"/>
    <w:rsid w:val="006A62E2"/>
    <w:rsid w:val="006A6998"/>
    <w:rsid w:val="006A6A58"/>
    <w:rsid w:val="006A77DA"/>
    <w:rsid w:val="006B1382"/>
    <w:rsid w:val="006B141F"/>
    <w:rsid w:val="006B1E1B"/>
    <w:rsid w:val="006B1F01"/>
    <w:rsid w:val="006B20DE"/>
    <w:rsid w:val="006B2A92"/>
    <w:rsid w:val="006B2D5A"/>
    <w:rsid w:val="006B2E4C"/>
    <w:rsid w:val="006B334F"/>
    <w:rsid w:val="006B3D86"/>
    <w:rsid w:val="006B47E6"/>
    <w:rsid w:val="006B4971"/>
    <w:rsid w:val="006B49B5"/>
    <w:rsid w:val="006B4AB1"/>
    <w:rsid w:val="006B5469"/>
    <w:rsid w:val="006B5861"/>
    <w:rsid w:val="006B6007"/>
    <w:rsid w:val="006B6950"/>
    <w:rsid w:val="006B6BC7"/>
    <w:rsid w:val="006B6EC9"/>
    <w:rsid w:val="006B6F7F"/>
    <w:rsid w:val="006B724D"/>
    <w:rsid w:val="006B7843"/>
    <w:rsid w:val="006B7DE8"/>
    <w:rsid w:val="006C05E2"/>
    <w:rsid w:val="006C0DD2"/>
    <w:rsid w:val="006C142A"/>
    <w:rsid w:val="006C1900"/>
    <w:rsid w:val="006C2C7E"/>
    <w:rsid w:val="006C2E3D"/>
    <w:rsid w:val="006C341A"/>
    <w:rsid w:val="006C37D3"/>
    <w:rsid w:val="006C41DB"/>
    <w:rsid w:val="006C449A"/>
    <w:rsid w:val="006C4B3D"/>
    <w:rsid w:val="006C4CFA"/>
    <w:rsid w:val="006C539E"/>
    <w:rsid w:val="006C5A2B"/>
    <w:rsid w:val="006C5CCD"/>
    <w:rsid w:val="006C62D4"/>
    <w:rsid w:val="006C62F8"/>
    <w:rsid w:val="006C6442"/>
    <w:rsid w:val="006C6F6B"/>
    <w:rsid w:val="006C708A"/>
    <w:rsid w:val="006C70CA"/>
    <w:rsid w:val="006C738E"/>
    <w:rsid w:val="006C7B19"/>
    <w:rsid w:val="006C7EA2"/>
    <w:rsid w:val="006C7F52"/>
    <w:rsid w:val="006D02D7"/>
    <w:rsid w:val="006D0470"/>
    <w:rsid w:val="006D0E52"/>
    <w:rsid w:val="006D1CB9"/>
    <w:rsid w:val="006D21DE"/>
    <w:rsid w:val="006D22BE"/>
    <w:rsid w:val="006D2627"/>
    <w:rsid w:val="006D26E7"/>
    <w:rsid w:val="006D4000"/>
    <w:rsid w:val="006D4F4C"/>
    <w:rsid w:val="006D53AB"/>
    <w:rsid w:val="006D586D"/>
    <w:rsid w:val="006D5E18"/>
    <w:rsid w:val="006D6659"/>
    <w:rsid w:val="006D66DB"/>
    <w:rsid w:val="006D697B"/>
    <w:rsid w:val="006D6BA1"/>
    <w:rsid w:val="006D7127"/>
    <w:rsid w:val="006D73D5"/>
    <w:rsid w:val="006D7B52"/>
    <w:rsid w:val="006D7B55"/>
    <w:rsid w:val="006D7BD6"/>
    <w:rsid w:val="006E0716"/>
    <w:rsid w:val="006E07B0"/>
    <w:rsid w:val="006E08E3"/>
    <w:rsid w:val="006E0F38"/>
    <w:rsid w:val="006E1181"/>
    <w:rsid w:val="006E2915"/>
    <w:rsid w:val="006E2A52"/>
    <w:rsid w:val="006E2C33"/>
    <w:rsid w:val="006E2E53"/>
    <w:rsid w:val="006E322C"/>
    <w:rsid w:val="006E3A43"/>
    <w:rsid w:val="006E3ECB"/>
    <w:rsid w:val="006E3EEC"/>
    <w:rsid w:val="006E3F91"/>
    <w:rsid w:val="006E4920"/>
    <w:rsid w:val="006E49C5"/>
    <w:rsid w:val="006E5141"/>
    <w:rsid w:val="006E5597"/>
    <w:rsid w:val="006E6C86"/>
    <w:rsid w:val="006E6D73"/>
    <w:rsid w:val="006E73B7"/>
    <w:rsid w:val="006F0A30"/>
    <w:rsid w:val="006F0C35"/>
    <w:rsid w:val="006F0D7D"/>
    <w:rsid w:val="006F1C41"/>
    <w:rsid w:val="006F29AF"/>
    <w:rsid w:val="006F3176"/>
    <w:rsid w:val="006F32E1"/>
    <w:rsid w:val="006F3476"/>
    <w:rsid w:val="006F3646"/>
    <w:rsid w:val="006F4985"/>
    <w:rsid w:val="006F54E8"/>
    <w:rsid w:val="006F57E4"/>
    <w:rsid w:val="006F6248"/>
    <w:rsid w:val="006F6A3C"/>
    <w:rsid w:val="006F7622"/>
    <w:rsid w:val="006F7987"/>
    <w:rsid w:val="006F7B27"/>
    <w:rsid w:val="006F7C3E"/>
    <w:rsid w:val="00700198"/>
    <w:rsid w:val="007015DC"/>
    <w:rsid w:val="00701CD9"/>
    <w:rsid w:val="007020E1"/>
    <w:rsid w:val="00702236"/>
    <w:rsid w:val="00702414"/>
    <w:rsid w:val="00702B37"/>
    <w:rsid w:val="00703332"/>
    <w:rsid w:val="00704145"/>
    <w:rsid w:val="0070481D"/>
    <w:rsid w:val="00704C19"/>
    <w:rsid w:val="007052B5"/>
    <w:rsid w:val="007053DB"/>
    <w:rsid w:val="007055D7"/>
    <w:rsid w:val="00706C56"/>
    <w:rsid w:val="00707427"/>
    <w:rsid w:val="00707867"/>
    <w:rsid w:val="00707968"/>
    <w:rsid w:val="00707E81"/>
    <w:rsid w:val="00707F20"/>
    <w:rsid w:val="007100A5"/>
    <w:rsid w:val="007103A2"/>
    <w:rsid w:val="007104A8"/>
    <w:rsid w:val="007105CD"/>
    <w:rsid w:val="007108C1"/>
    <w:rsid w:val="00710D66"/>
    <w:rsid w:val="00711855"/>
    <w:rsid w:val="007118FA"/>
    <w:rsid w:val="007119C6"/>
    <w:rsid w:val="00711AE9"/>
    <w:rsid w:val="00712461"/>
    <w:rsid w:val="00712A8F"/>
    <w:rsid w:val="00713038"/>
    <w:rsid w:val="007132A4"/>
    <w:rsid w:val="00713B12"/>
    <w:rsid w:val="00713EB8"/>
    <w:rsid w:val="00713EDB"/>
    <w:rsid w:val="007141BE"/>
    <w:rsid w:val="00714352"/>
    <w:rsid w:val="00714684"/>
    <w:rsid w:val="007165C0"/>
    <w:rsid w:val="007166AF"/>
    <w:rsid w:val="007166EF"/>
    <w:rsid w:val="00716C38"/>
    <w:rsid w:val="007170AE"/>
    <w:rsid w:val="0071718F"/>
    <w:rsid w:val="00717691"/>
    <w:rsid w:val="007177BF"/>
    <w:rsid w:val="00717EC2"/>
    <w:rsid w:val="00717F05"/>
    <w:rsid w:val="007207F2"/>
    <w:rsid w:val="00720EC0"/>
    <w:rsid w:val="007218C3"/>
    <w:rsid w:val="0072197F"/>
    <w:rsid w:val="00721C1B"/>
    <w:rsid w:val="00722034"/>
    <w:rsid w:val="007221DB"/>
    <w:rsid w:val="0072242B"/>
    <w:rsid w:val="00722758"/>
    <w:rsid w:val="00722C25"/>
    <w:rsid w:val="00722C45"/>
    <w:rsid w:val="0072454B"/>
    <w:rsid w:val="0072504E"/>
    <w:rsid w:val="007259A0"/>
    <w:rsid w:val="00726CD3"/>
    <w:rsid w:val="007271D5"/>
    <w:rsid w:val="00727C05"/>
    <w:rsid w:val="007303F6"/>
    <w:rsid w:val="0073082E"/>
    <w:rsid w:val="0073088C"/>
    <w:rsid w:val="00730BE6"/>
    <w:rsid w:val="00731809"/>
    <w:rsid w:val="0073211C"/>
    <w:rsid w:val="0073242C"/>
    <w:rsid w:val="00732664"/>
    <w:rsid w:val="00732840"/>
    <w:rsid w:val="00732B18"/>
    <w:rsid w:val="00733015"/>
    <w:rsid w:val="007330B5"/>
    <w:rsid w:val="00733911"/>
    <w:rsid w:val="00734200"/>
    <w:rsid w:val="00734762"/>
    <w:rsid w:val="00734AB8"/>
    <w:rsid w:val="00734F48"/>
    <w:rsid w:val="00735BFA"/>
    <w:rsid w:val="00736533"/>
    <w:rsid w:val="00736598"/>
    <w:rsid w:val="00736599"/>
    <w:rsid w:val="007374CA"/>
    <w:rsid w:val="00737B38"/>
    <w:rsid w:val="00740781"/>
    <w:rsid w:val="00740EC2"/>
    <w:rsid w:val="00740F0F"/>
    <w:rsid w:val="007411B7"/>
    <w:rsid w:val="0074195D"/>
    <w:rsid w:val="0074301D"/>
    <w:rsid w:val="007430B1"/>
    <w:rsid w:val="00743294"/>
    <w:rsid w:val="00743CBB"/>
    <w:rsid w:val="00743F91"/>
    <w:rsid w:val="00744064"/>
    <w:rsid w:val="007442D5"/>
    <w:rsid w:val="007446F5"/>
    <w:rsid w:val="0074471C"/>
    <w:rsid w:val="00744971"/>
    <w:rsid w:val="007456C8"/>
    <w:rsid w:val="00745700"/>
    <w:rsid w:val="0074585D"/>
    <w:rsid w:val="00745EAE"/>
    <w:rsid w:val="00746653"/>
    <w:rsid w:val="00746C1F"/>
    <w:rsid w:val="00747A2D"/>
    <w:rsid w:val="00747A70"/>
    <w:rsid w:val="00747C3A"/>
    <w:rsid w:val="00747C74"/>
    <w:rsid w:val="00750482"/>
    <w:rsid w:val="00750657"/>
    <w:rsid w:val="00750A1A"/>
    <w:rsid w:val="00750CA6"/>
    <w:rsid w:val="0075186B"/>
    <w:rsid w:val="0075212D"/>
    <w:rsid w:val="007528AC"/>
    <w:rsid w:val="007529EB"/>
    <w:rsid w:val="00753333"/>
    <w:rsid w:val="00753AE2"/>
    <w:rsid w:val="00754BBD"/>
    <w:rsid w:val="00754FF4"/>
    <w:rsid w:val="007551EB"/>
    <w:rsid w:val="007559D6"/>
    <w:rsid w:val="00755ABC"/>
    <w:rsid w:val="00755F7F"/>
    <w:rsid w:val="00755FF0"/>
    <w:rsid w:val="007576C3"/>
    <w:rsid w:val="0075784E"/>
    <w:rsid w:val="00757C25"/>
    <w:rsid w:val="00757DFF"/>
    <w:rsid w:val="00757E28"/>
    <w:rsid w:val="0076074F"/>
    <w:rsid w:val="00760DA6"/>
    <w:rsid w:val="00761112"/>
    <w:rsid w:val="00761D43"/>
    <w:rsid w:val="00761EEE"/>
    <w:rsid w:val="00762DDD"/>
    <w:rsid w:val="00762EDC"/>
    <w:rsid w:val="00762F80"/>
    <w:rsid w:val="0076356B"/>
    <w:rsid w:val="00763574"/>
    <w:rsid w:val="00763F0F"/>
    <w:rsid w:val="007642B5"/>
    <w:rsid w:val="00764727"/>
    <w:rsid w:val="00764900"/>
    <w:rsid w:val="00765336"/>
    <w:rsid w:val="007658C0"/>
    <w:rsid w:val="00765CC1"/>
    <w:rsid w:val="00765E7B"/>
    <w:rsid w:val="00766441"/>
    <w:rsid w:val="00766DCE"/>
    <w:rsid w:val="0076732C"/>
    <w:rsid w:val="007676AD"/>
    <w:rsid w:val="00767BBD"/>
    <w:rsid w:val="00767BEB"/>
    <w:rsid w:val="00770438"/>
    <w:rsid w:val="00770450"/>
    <w:rsid w:val="007705F9"/>
    <w:rsid w:val="00770CE6"/>
    <w:rsid w:val="0077130D"/>
    <w:rsid w:val="0077140F"/>
    <w:rsid w:val="0077163A"/>
    <w:rsid w:val="00771D61"/>
    <w:rsid w:val="00772143"/>
    <w:rsid w:val="0077239A"/>
    <w:rsid w:val="007723E3"/>
    <w:rsid w:val="00772821"/>
    <w:rsid w:val="00772B2E"/>
    <w:rsid w:val="00773544"/>
    <w:rsid w:val="00773BF3"/>
    <w:rsid w:val="00774330"/>
    <w:rsid w:val="00774D31"/>
    <w:rsid w:val="00774DB2"/>
    <w:rsid w:val="0077544B"/>
    <w:rsid w:val="007754A9"/>
    <w:rsid w:val="00775E2B"/>
    <w:rsid w:val="00775F97"/>
    <w:rsid w:val="00776AF8"/>
    <w:rsid w:val="0077762B"/>
    <w:rsid w:val="00777B99"/>
    <w:rsid w:val="00777BF9"/>
    <w:rsid w:val="00780C2D"/>
    <w:rsid w:val="00780CD0"/>
    <w:rsid w:val="00780DD4"/>
    <w:rsid w:val="007810CB"/>
    <w:rsid w:val="00781909"/>
    <w:rsid w:val="00781CF0"/>
    <w:rsid w:val="0078246C"/>
    <w:rsid w:val="00782F5C"/>
    <w:rsid w:val="0078311D"/>
    <w:rsid w:val="00783A32"/>
    <w:rsid w:val="00783D2F"/>
    <w:rsid w:val="007852FD"/>
    <w:rsid w:val="0078540B"/>
    <w:rsid w:val="00785864"/>
    <w:rsid w:val="00785CAF"/>
    <w:rsid w:val="00785CC7"/>
    <w:rsid w:val="00786040"/>
    <w:rsid w:val="007868A1"/>
    <w:rsid w:val="00786E96"/>
    <w:rsid w:val="00786FA7"/>
    <w:rsid w:val="0078768F"/>
    <w:rsid w:val="00790049"/>
    <w:rsid w:val="007903F2"/>
    <w:rsid w:val="0079173E"/>
    <w:rsid w:val="00791BD0"/>
    <w:rsid w:val="0079297C"/>
    <w:rsid w:val="00792F0A"/>
    <w:rsid w:val="007931D6"/>
    <w:rsid w:val="007938EA"/>
    <w:rsid w:val="00793A28"/>
    <w:rsid w:val="007946DF"/>
    <w:rsid w:val="007948B8"/>
    <w:rsid w:val="00794E85"/>
    <w:rsid w:val="007952C6"/>
    <w:rsid w:val="00795CBF"/>
    <w:rsid w:val="00795F59"/>
    <w:rsid w:val="00796AA8"/>
    <w:rsid w:val="0079761C"/>
    <w:rsid w:val="00797C4F"/>
    <w:rsid w:val="007A138D"/>
    <w:rsid w:val="007A1AB1"/>
    <w:rsid w:val="007A1E93"/>
    <w:rsid w:val="007A23C5"/>
    <w:rsid w:val="007A3184"/>
    <w:rsid w:val="007A336B"/>
    <w:rsid w:val="007A35B8"/>
    <w:rsid w:val="007A399C"/>
    <w:rsid w:val="007A40F7"/>
    <w:rsid w:val="007A45FD"/>
    <w:rsid w:val="007A535E"/>
    <w:rsid w:val="007A5FFF"/>
    <w:rsid w:val="007A62F7"/>
    <w:rsid w:val="007A6480"/>
    <w:rsid w:val="007A651D"/>
    <w:rsid w:val="007A690C"/>
    <w:rsid w:val="007A6D30"/>
    <w:rsid w:val="007A6FED"/>
    <w:rsid w:val="007A7390"/>
    <w:rsid w:val="007A7726"/>
    <w:rsid w:val="007A7B90"/>
    <w:rsid w:val="007A7C0B"/>
    <w:rsid w:val="007B060F"/>
    <w:rsid w:val="007B0E8A"/>
    <w:rsid w:val="007B14EB"/>
    <w:rsid w:val="007B1CFE"/>
    <w:rsid w:val="007B1FE0"/>
    <w:rsid w:val="007B225C"/>
    <w:rsid w:val="007B244D"/>
    <w:rsid w:val="007B254A"/>
    <w:rsid w:val="007B2687"/>
    <w:rsid w:val="007B27D4"/>
    <w:rsid w:val="007B2A20"/>
    <w:rsid w:val="007B2C52"/>
    <w:rsid w:val="007B3A5D"/>
    <w:rsid w:val="007B403D"/>
    <w:rsid w:val="007B54D4"/>
    <w:rsid w:val="007B5650"/>
    <w:rsid w:val="007B5711"/>
    <w:rsid w:val="007B7C5F"/>
    <w:rsid w:val="007C06F5"/>
    <w:rsid w:val="007C0703"/>
    <w:rsid w:val="007C0A28"/>
    <w:rsid w:val="007C0ECB"/>
    <w:rsid w:val="007C160B"/>
    <w:rsid w:val="007C27B6"/>
    <w:rsid w:val="007C2908"/>
    <w:rsid w:val="007C2983"/>
    <w:rsid w:val="007C2B30"/>
    <w:rsid w:val="007C3B0D"/>
    <w:rsid w:val="007C3B87"/>
    <w:rsid w:val="007C4743"/>
    <w:rsid w:val="007C5191"/>
    <w:rsid w:val="007C5652"/>
    <w:rsid w:val="007C5E91"/>
    <w:rsid w:val="007C5F5A"/>
    <w:rsid w:val="007C7246"/>
    <w:rsid w:val="007C74BA"/>
    <w:rsid w:val="007C75BC"/>
    <w:rsid w:val="007C79FF"/>
    <w:rsid w:val="007C7BD4"/>
    <w:rsid w:val="007C7F3E"/>
    <w:rsid w:val="007D0017"/>
    <w:rsid w:val="007D0A8D"/>
    <w:rsid w:val="007D0D7D"/>
    <w:rsid w:val="007D0D98"/>
    <w:rsid w:val="007D1212"/>
    <w:rsid w:val="007D14A6"/>
    <w:rsid w:val="007D1FC9"/>
    <w:rsid w:val="007D23FE"/>
    <w:rsid w:val="007D3AB2"/>
    <w:rsid w:val="007D3C66"/>
    <w:rsid w:val="007D3D48"/>
    <w:rsid w:val="007D3FF2"/>
    <w:rsid w:val="007D45B3"/>
    <w:rsid w:val="007D5480"/>
    <w:rsid w:val="007D56C0"/>
    <w:rsid w:val="007D5906"/>
    <w:rsid w:val="007D5FF5"/>
    <w:rsid w:val="007D62F4"/>
    <w:rsid w:val="007D6380"/>
    <w:rsid w:val="007D65EA"/>
    <w:rsid w:val="007D6778"/>
    <w:rsid w:val="007D7321"/>
    <w:rsid w:val="007D7501"/>
    <w:rsid w:val="007D7D0A"/>
    <w:rsid w:val="007E07BA"/>
    <w:rsid w:val="007E0839"/>
    <w:rsid w:val="007E0A51"/>
    <w:rsid w:val="007E0B62"/>
    <w:rsid w:val="007E0E11"/>
    <w:rsid w:val="007E1523"/>
    <w:rsid w:val="007E1D28"/>
    <w:rsid w:val="007E2074"/>
    <w:rsid w:val="007E21F1"/>
    <w:rsid w:val="007E2235"/>
    <w:rsid w:val="007E2834"/>
    <w:rsid w:val="007E2E1B"/>
    <w:rsid w:val="007E34D0"/>
    <w:rsid w:val="007E389C"/>
    <w:rsid w:val="007E3B2A"/>
    <w:rsid w:val="007E3F28"/>
    <w:rsid w:val="007E4522"/>
    <w:rsid w:val="007E4B86"/>
    <w:rsid w:val="007E4DE2"/>
    <w:rsid w:val="007E51A2"/>
    <w:rsid w:val="007E5C2C"/>
    <w:rsid w:val="007E5C53"/>
    <w:rsid w:val="007E6A75"/>
    <w:rsid w:val="007E70D8"/>
    <w:rsid w:val="007E7163"/>
    <w:rsid w:val="007E727F"/>
    <w:rsid w:val="007E7359"/>
    <w:rsid w:val="007E79C5"/>
    <w:rsid w:val="007E7B78"/>
    <w:rsid w:val="007E7D37"/>
    <w:rsid w:val="007F0203"/>
    <w:rsid w:val="007F0EAB"/>
    <w:rsid w:val="007F20B2"/>
    <w:rsid w:val="007F2763"/>
    <w:rsid w:val="007F3311"/>
    <w:rsid w:val="007F33AA"/>
    <w:rsid w:val="007F33FC"/>
    <w:rsid w:val="007F594A"/>
    <w:rsid w:val="007F5EEF"/>
    <w:rsid w:val="007F649E"/>
    <w:rsid w:val="007F6771"/>
    <w:rsid w:val="007F6932"/>
    <w:rsid w:val="007F6E1E"/>
    <w:rsid w:val="007F7492"/>
    <w:rsid w:val="007F7736"/>
    <w:rsid w:val="007F7E70"/>
    <w:rsid w:val="00800049"/>
    <w:rsid w:val="00800355"/>
    <w:rsid w:val="008003E1"/>
    <w:rsid w:val="00800413"/>
    <w:rsid w:val="00800805"/>
    <w:rsid w:val="0080120B"/>
    <w:rsid w:val="0080175D"/>
    <w:rsid w:val="00801AD2"/>
    <w:rsid w:val="00801C0D"/>
    <w:rsid w:val="008035B5"/>
    <w:rsid w:val="008049AB"/>
    <w:rsid w:val="00804BA1"/>
    <w:rsid w:val="00804BCB"/>
    <w:rsid w:val="00804C86"/>
    <w:rsid w:val="00805E3A"/>
    <w:rsid w:val="0080677D"/>
    <w:rsid w:val="00806BF7"/>
    <w:rsid w:val="00806D5C"/>
    <w:rsid w:val="008070F7"/>
    <w:rsid w:val="00807CEC"/>
    <w:rsid w:val="00810329"/>
    <w:rsid w:val="00810609"/>
    <w:rsid w:val="00810A9C"/>
    <w:rsid w:val="00810B7B"/>
    <w:rsid w:val="00810CC9"/>
    <w:rsid w:val="00810EBF"/>
    <w:rsid w:val="00812890"/>
    <w:rsid w:val="008132EC"/>
    <w:rsid w:val="008134F3"/>
    <w:rsid w:val="00813578"/>
    <w:rsid w:val="00813A74"/>
    <w:rsid w:val="0081401E"/>
    <w:rsid w:val="00814BCF"/>
    <w:rsid w:val="00816163"/>
    <w:rsid w:val="00816BDA"/>
    <w:rsid w:val="00817079"/>
    <w:rsid w:val="00817163"/>
    <w:rsid w:val="008173FA"/>
    <w:rsid w:val="008174DE"/>
    <w:rsid w:val="008175D3"/>
    <w:rsid w:val="008177FD"/>
    <w:rsid w:val="00817C48"/>
    <w:rsid w:val="008201C6"/>
    <w:rsid w:val="008201DA"/>
    <w:rsid w:val="00820608"/>
    <w:rsid w:val="00821942"/>
    <w:rsid w:val="008219D8"/>
    <w:rsid w:val="00821CFC"/>
    <w:rsid w:val="00821DFA"/>
    <w:rsid w:val="008225AC"/>
    <w:rsid w:val="008226AD"/>
    <w:rsid w:val="008235D9"/>
    <w:rsid w:val="008235E3"/>
    <w:rsid w:val="00823B5D"/>
    <w:rsid w:val="00823BB0"/>
    <w:rsid w:val="00823DB0"/>
    <w:rsid w:val="00824085"/>
    <w:rsid w:val="008242F5"/>
    <w:rsid w:val="008242FF"/>
    <w:rsid w:val="0082485E"/>
    <w:rsid w:val="00824C8E"/>
    <w:rsid w:val="0082591D"/>
    <w:rsid w:val="00826A83"/>
    <w:rsid w:val="008277D7"/>
    <w:rsid w:val="00827F36"/>
    <w:rsid w:val="00827F4C"/>
    <w:rsid w:val="008304B9"/>
    <w:rsid w:val="0083075B"/>
    <w:rsid w:val="008309E6"/>
    <w:rsid w:val="00830C9D"/>
    <w:rsid w:val="008319B3"/>
    <w:rsid w:val="00831DCE"/>
    <w:rsid w:val="0083204C"/>
    <w:rsid w:val="00832E44"/>
    <w:rsid w:val="00832EEB"/>
    <w:rsid w:val="008333F5"/>
    <w:rsid w:val="008351C6"/>
    <w:rsid w:val="00835331"/>
    <w:rsid w:val="00835536"/>
    <w:rsid w:val="00835781"/>
    <w:rsid w:val="008358D5"/>
    <w:rsid w:val="00835EC7"/>
    <w:rsid w:val="0083718C"/>
    <w:rsid w:val="00837521"/>
    <w:rsid w:val="00837570"/>
    <w:rsid w:val="008377D6"/>
    <w:rsid w:val="00837A62"/>
    <w:rsid w:val="00837C70"/>
    <w:rsid w:val="00840313"/>
    <w:rsid w:val="0084050A"/>
    <w:rsid w:val="008413E8"/>
    <w:rsid w:val="00841831"/>
    <w:rsid w:val="00841A46"/>
    <w:rsid w:val="00841D09"/>
    <w:rsid w:val="00842500"/>
    <w:rsid w:val="00842F5D"/>
    <w:rsid w:val="00842F71"/>
    <w:rsid w:val="0084331B"/>
    <w:rsid w:val="00843599"/>
    <w:rsid w:val="00843EAB"/>
    <w:rsid w:val="00844042"/>
    <w:rsid w:val="00844426"/>
    <w:rsid w:val="0084443B"/>
    <w:rsid w:val="00844AFA"/>
    <w:rsid w:val="00844CB8"/>
    <w:rsid w:val="00845234"/>
    <w:rsid w:val="00845286"/>
    <w:rsid w:val="0084661F"/>
    <w:rsid w:val="00846A38"/>
    <w:rsid w:val="00846A72"/>
    <w:rsid w:val="00846F28"/>
    <w:rsid w:val="00847327"/>
    <w:rsid w:val="0084759B"/>
    <w:rsid w:val="0084786F"/>
    <w:rsid w:val="008501B8"/>
    <w:rsid w:val="00850286"/>
    <w:rsid w:val="008507B7"/>
    <w:rsid w:val="00850955"/>
    <w:rsid w:val="00850ADB"/>
    <w:rsid w:val="008512F1"/>
    <w:rsid w:val="008517AA"/>
    <w:rsid w:val="00852329"/>
    <w:rsid w:val="00852632"/>
    <w:rsid w:val="008527D9"/>
    <w:rsid w:val="008531FD"/>
    <w:rsid w:val="0085326F"/>
    <w:rsid w:val="00853487"/>
    <w:rsid w:val="00853687"/>
    <w:rsid w:val="00853990"/>
    <w:rsid w:val="00853AC7"/>
    <w:rsid w:val="0085424C"/>
    <w:rsid w:val="008543AB"/>
    <w:rsid w:val="00854712"/>
    <w:rsid w:val="00854848"/>
    <w:rsid w:val="00854CBB"/>
    <w:rsid w:val="00854D4A"/>
    <w:rsid w:val="00854ED6"/>
    <w:rsid w:val="00855220"/>
    <w:rsid w:val="00855B0A"/>
    <w:rsid w:val="00856407"/>
    <w:rsid w:val="008570CD"/>
    <w:rsid w:val="0085752F"/>
    <w:rsid w:val="00857D84"/>
    <w:rsid w:val="00857EC3"/>
    <w:rsid w:val="00857EF5"/>
    <w:rsid w:val="00860258"/>
    <w:rsid w:val="00860643"/>
    <w:rsid w:val="00860818"/>
    <w:rsid w:val="00860C25"/>
    <w:rsid w:val="00860F99"/>
    <w:rsid w:val="00861C3B"/>
    <w:rsid w:val="00861E47"/>
    <w:rsid w:val="00861E7A"/>
    <w:rsid w:val="00861FAE"/>
    <w:rsid w:val="00862885"/>
    <w:rsid w:val="00863493"/>
    <w:rsid w:val="008640F2"/>
    <w:rsid w:val="00864761"/>
    <w:rsid w:val="0086487F"/>
    <w:rsid w:val="00864E6C"/>
    <w:rsid w:val="00865839"/>
    <w:rsid w:val="008658A4"/>
    <w:rsid w:val="00865A56"/>
    <w:rsid w:val="008660A6"/>
    <w:rsid w:val="008666C4"/>
    <w:rsid w:val="00866889"/>
    <w:rsid w:val="008669CC"/>
    <w:rsid w:val="00866B37"/>
    <w:rsid w:val="00867603"/>
    <w:rsid w:val="00867C3B"/>
    <w:rsid w:val="00870250"/>
    <w:rsid w:val="008706E3"/>
    <w:rsid w:val="00870B55"/>
    <w:rsid w:val="00871410"/>
    <w:rsid w:val="00871B56"/>
    <w:rsid w:val="00871BB2"/>
    <w:rsid w:val="00871BB3"/>
    <w:rsid w:val="0087217C"/>
    <w:rsid w:val="008723BE"/>
    <w:rsid w:val="008724A0"/>
    <w:rsid w:val="0087332F"/>
    <w:rsid w:val="008736E2"/>
    <w:rsid w:val="00874A42"/>
    <w:rsid w:val="00875182"/>
    <w:rsid w:val="0087539B"/>
    <w:rsid w:val="00875508"/>
    <w:rsid w:val="00875CCB"/>
    <w:rsid w:val="00876381"/>
    <w:rsid w:val="00876703"/>
    <w:rsid w:val="00876810"/>
    <w:rsid w:val="00876E62"/>
    <w:rsid w:val="0087742A"/>
    <w:rsid w:val="00877430"/>
    <w:rsid w:val="00880512"/>
    <w:rsid w:val="00881035"/>
    <w:rsid w:val="00881CAC"/>
    <w:rsid w:val="00882B2C"/>
    <w:rsid w:val="008831D9"/>
    <w:rsid w:val="00883831"/>
    <w:rsid w:val="008841BB"/>
    <w:rsid w:val="00885051"/>
    <w:rsid w:val="008856E2"/>
    <w:rsid w:val="00886161"/>
    <w:rsid w:val="00886A23"/>
    <w:rsid w:val="00887356"/>
    <w:rsid w:val="00887624"/>
    <w:rsid w:val="00890163"/>
    <w:rsid w:val="00890F8D"/>
    <w:rsid w:val="0089152D"/>
    <w:rsid w:val="008919C6"/>
    <w:rsid w:val="00891A84"/>
    <w:rsid w:val="00891D7D"/>
    <w:rsid w:val="008923BA"/>
    <w:rsid w:val="008926F1"/>
    <w:rsid w:val="00893046"/>
    <w:rsid w:val="0089329C"/>
    <w:rsid w:val="00893634"/>
    <w:rsid w:val="00893913"/>
    <w:rsid w:val="00894872"/>
    <w:rsid w:val="00894ED2"/>
    <w:rsid w:val="00895537"/>
    <w:rsid w:val="00895F74"/>
    <w:rsid w:val="008964B2"/>
    <w:rsid w:val="00896CEC"/>
    <w:rsid w:val="00896D48"/>
    <w:rsid w:val="00897A1A"/>
    <w:rsid w:val="00897D1D"/>
    <w:rsid w:val="00897D7F"/>
    <w:rsid w:val="008A07A3"/>
    <w:rsid w:val="008A0CC3"/>
    <w:rsid w:val="008A2373"/>
    <w:rsid w:val="008A2AC3"/>
    <w:rsid w:val="008A2D87"/>
    <w:rsid w:val="008A3043"/>
    <w:rsid w:val="008A351C"/>
    <w:rsid w:val="008A35EE"/>
    <w:rsid w:val="008A3652"/>
    <w:rsid w:val="008A385C"/>
    <w:rsid w:val="008A3B5C"/>
    <w:rsid w:val="008A3C82"/>
    <w:rsid w:val="008A4371"/>
    <w:rsid w:val="008A4FBB"/>
    <w:rsid w:val="008A5BA0"/>
    <w:rsid w:val="008A5FDA"/>
    <w:rsid w:val="008A68DD"/>
    <w:rsid w:val="008A7786"/>
    <w:rsid w:val="008A7B07"/>
    <w:rsid w:val="008B03F2"/>
    <w:rsid w:val="008B1174"/>
    <w:rsid w:val="008B276E"/>
    <w:rsid w:val="008B2B6D"/>
    <w:rsid w:val="008B345C"/>
    <w:rsid w:val="008B3747"/>
    <w:rsid w:val="008B4025"/>
    <w:rsid w:val="008B4B9E"/>
    <w:rsid w:val="008B4C03"/>
    <w:rsid w:val="008B4E19"/>
    <w:rsid w:val="008B5094"/>
    <w:rsid w:val="008B5394"/>
    <w:rsid w:val="008B53B5"/>
    <w:rsid w:val="008B5AD8"/>
    <w:rsid w:val="008B5CFC"/>
    <w:rsid w:val="008B62FC"/>
    <w:rsid w:val="008B639F"/>
    <w:rsid w:val="008B64E0"/>
    <w:rsid w:val="008B6ADF"/>
    <w:rsid w:val="008B7508"/>
    <w:rsid w:val="008B760E"/>
    <w:rsid w:val="008B77CE"/>
    <w:rsid w:val="008B79BC"/>
    <w:rsid w:val="008B7CAE"/>
    <w:rsid w:val="008B7E8A"/>
    <w:rsid w:val="008C046B"/>
    <w:rsid w:val="008C0A46"/>
    <w:rsid w:val="008C1431"/>
    <w:rsid w:val="008C15FD"/>
    <w:rsid w:val="008C16E9"/>
    <w:rsid w:val="008C1A62"/>
    <w:rsid w:val="008C2A60"/>
    <w:rsid w:val="008C2E2F"/>
    <w:rsid w:val="008C2FE9"/>
    <w:rsid w:val="008C345D"/>
    <w:rsid w:val="008C3524"/>
    <w:rsid w:val="008C3528"/>
    <w:rsid w:val="008C3809"/>
    <w:rsid w:val="008C48C1"/>
    <w:rsid w:val="008C4C0A"/>
    <w:rsid w:val="008C4D5A"/>
    <w:rsid w:val="008C60FF"/>
    <w:rsid w:val="008C61F5"/>
    <w:rsid w:val="008C62D8"/>
    <w:rsid w:val="008C6508"/>
    <w:rsid w:val="008C6A0A"/>
    <w:rsid w:val="008C716C"/>
    <w:rsid w:val="008C720B"/>
    <w:rsid w:val="008C763D"/>
    <w:rsid w:val="008C792B"/>
    <w:rsid w:val="008C7A75"/>
    <w:rsid w:val="008D042E"/>
    <w:rsid w:val="008D05B8"/>
    <w:rsid w:val="008D0AE2"/>
    <w:rsid w:val="008D1834"/>
    <w:rsid w:val="008D2CBD"/>
    <w:rsid w:val="008D385F"/>
    <w:rsid w:val="008D40BF"/>
    <w:rsid w:val="008D41B2"/>
    <w:rsid w:val="008D4A1B"/>
    <w:rsid w:val="008D4B28"/>
    <w:rsid w:val="008D5F47"/>
    <w:rsid w:val="008D66A7"/>
    <w:rsid w:val="008D68A8"/>
    <w:rsid w:val="008D70F6"/>
    <w:rsid w:val="008D72E6"/>
    <w:rsid w:val="008E0374"/>
    <w:rsid w:val="008E042D"/>
    <w:rsid w:val="008E065D"/>
    <w:rsid w:val="008E0E47"/>
    <w:rsid w:val="008E15E3"/>
    <w:rsid w:val="008E1E4F"/>
    <w:rsid w:val="008E20D7"/>
    <w:rsid w:val="008E32BC"/>
    <w:rsid w:val="008E32FC"/>
    <w:rsid w:val="008E36C9"/>
    <w:rsid w:val="008E38D0"/>
    <w:rsid w:val="008E3C85"/>
    <w:rsid w:val="008E3FB9"/>
    <w:rsid w:val="008E4CA7"/>
    <w:rsid w:val="008E56D7"/>
    <w:rsid w:val="008E6F7E"/>
    <w:rsid w:val="008E7243"/>
    <w:rsid w:val="008E73A1"/>
    <w:rsid w:val="008E7B2A"/>
    <w:rsid w:val="008F0180"/>
    <w:rsid w:val="008F0198"/>
    <w:rsid w:val="008F02E0"/>
    <w:rsid w:val="008F07E0"/>
    <w:rsid w:val="008F10EC"/>
    <w:rsid w:val="008F19A1"/>
    <w:rsid w:val="008F2284"/>
    <w:rsid w:val="008F2452"/>
    <w:rsid w:val="008F261F"/>
    <w:rsid w:val="008F31DE"/>
    <w:rsid w:val="008F329A"/>
    <w:rsid w:val="008F3AC4"/>
    <w:rsid w:val="008F3B3A"/>
    <w:rsid w:val="008F44FA"/>
    <w:rsid w:val="008F5098"/>
    <w:rsid w:val="008F51EB"/>
    <w:rsid w:val="008F554A"/>
    <w:rsid w:val="008F5943"/>
    <w:rsid w:val="008F5D47"/>
    <w:rsid w:val="008F694E"/>
    <w:rsid w:val="008F6C6E"/>
    <w:rsid w:val="00900F71"/>
    <w:rsid w:val="0090122F"/>
    <w:rsid w:val="00901446"/>
    <w:rsid w:val="0090144F"/>
    <w:rsid w:val="00901869"/>
    <w:rsid w:val="009018B9"/>
    <w:rsid w:val="00901927"/>
    <w:rsid w:val="00901BC0"/>
    <w:rsid w:val="0090206A"/>
    <w:rsid w:val="00902849"/>
    <w:rsid w:val="00902A11"/>
    <w:rsid w:val="00902B7D"/>
    <w:rsid w:val="00902CBC"/>
    <w:rsid w:val="00903039"/>
    <w:rsid w:val="009031B5"/>
    <w:rsid w:val="009034DB"/>
    <w:rsid w:val="00903CB5"/>
    <w:rsid w:val="00903EB8"/>
    <w:rsid w:val="0090521D"/>
    <w:rsid w:val="009053ED"/>
    <w:rsid w:val="009055FF"/>
    <w:rsid w:val="00905BEC"/>
    <w:rsid w:val="00906083"/>
    <w:rsid w:val="009065EB"/>
    <w:rsid w:val="0090668D"/>
    <w:rsid w:val="0090692C"/>
    <w:rsid w:val="00906CF2"/>
    <w:rsid w:val="009079AF"/>
    <w:rsid w:val="00910926"/>
    <w:rsid w:val="009109E6"/>
    <w:rsid w:val="0091104C"/>
    <w:rsid w:val="009111DC"/>
    <w:rsid w:val="009115C9"/>
    <w:rsid w:val="00911FC6"/>
    <w:rsid w:val="0091207C"/>
    <w:rsid w:val="00912236"/>
    <w:rsid w:val="0091228D"/>
    <w:rsid w:val="009127EB"/>
    <w:rsid w:val="009128AB"/>
    <w:rsid w:val="00912D15"/>
    <w:rsid w:val="0091320B"/>
    <w:rsid w:val="00913566"/>
    <w:rsid w:val="00913C53"/>
    <w:rsid w:val="00914473"/>
    <w:rsid w:val="009145AB"/>
    <w:rsid w:val="00914AF3"/>
    <w:rsid w:val="009150B3"/>
    <w:rsid w:val="009151B0"/>
    <w:rsid w:val="00915357"/>
    <w:rsid w:val="00915365"/>
    <w:rsid w:val="00915852"/>
    <w:rsid w:val="00915A2F"/>
    <w:rsid w:val="00915C28"/>
    <w:rsid w:val="00915F9B"/>
    <w:rsid w:val="009169CD"/>
    <w:rsid w:val="009172F5"/>
    <w:rsid w:val="009176BD"/>
    <w:rsid w:val="00917725"/>
    <w:rsid w:val="00917AAA"/>
    <w:rsid w:val="00917FEF"/>
    <w:rsid w:val="009201C2"/>
    <w:rsid w:val="00920694"/>
    <w:rsid w:val="009208F6"/>
    <w:rsid w:val="009211DA"/>
    <w:rsid w:val="009215C5"/>
    <w:rsid w:val="00921672"/>
    <w:rsid w:val="00921F91"/>
    <w:rsid w:val="00922164"/>
    <w:rsid w:val="009223DE"/>
    <w:rsid w:val="0092246B"/>
    <w:rsid w:val="009235ED"/>
    <w:rsid w:val="00923715"/>
    <w:rsid w:val="00923865"/>
    <w:rsid w:val="00923B4B"/>
    <w:rsid w:val="00923BA9"/>
    <w:rsid w:val="00923E7E"/>
    <w:rsid w:val="00923F9C"/>
    <w:rsid w:val="009240CF"/>
    <w:rsid w:val="00924569"/>
    <w:rsid w:val="009248A6"/>
    <w:rsid w:val="00925410"/>
    <w:rsid w:val="00925944"/>
    <w:rsid w:val="009260E0"/>
    <w:rsid w:val="009268DD"/>
    <w:rsid w:val="00926985"/>
    <w:rsid w:val="00926A2D"/>
    <w:rsid w:val="00926A6E"/>
    <w:rsid w:val="00926B69"/>
    <w:rsid w:val="009277EB"/>
    <w:rsid w:val="009302A6"/>
    <w:rsid w:val="00930877"/>
    <w:rsid w:val="00930A78"/>
    <w:rsid w:val="00930F64"/>
    <w:rsid w:val="00930FFA"/>
    <w:rsid w:val="00931165"/>
    <w:rsid w:val="0093141C"/>
    <w:rsid w:val="00931637"/>
    <w:rsid w:val="00931D80"/>
    <w:rsid w:val="00932BE0"/>
    <w:rsid w:val="00933116"/>
    <w:rsid w:val="0093339E"/>
    <w:rsid w:val="009339DC"/>
    <w:rsid w:val="00934FC2"/>
    <w:rsid w:val="0093552E"/>
    <w:rsid w:val="00935750"/>
    <w:rsid w:val="00935F0B"/>
    <w:rsid w:val="0093610A"/>
    <w:rsid w:val="0093699A"/>
    <w:rsid w:val="00936CA5"/>
    <w:rsid w:val="009373AE"/>
    <w:rsid w:val="0093743A"/>
    <w:rsid w:val="00937472"/>
    <w:rsid w:val="009376EB"/>
    <w:rsid w:val="00937C72"/>
    <w:rsid w:val="009402FA"/>
    <w:rsid w:val="00940797"/>
    <w:rsid w:val="00940B51"/>
    <w:rsid w:val="00941189"/>
    <w:rsid w:val="00941AA5"/>
    <w:rsid w:val="00942182"/>
    <w:rsid w:val="00942A87"/>
    <w:rsid w:val="00943780"/>
    <w:rsid w:val="00943A9E"/>
    <w:rsid w:val="009446AD"/>
    <w:rsid w:val="00945356"/>
    <w:rsid w:val="0094581C"/>
    <w:rsid w:val="00945A5D"/>
    <w:rsid w:val="00945B57"/>
    <w:rsid w:val="00946AF4"/>
    <w:rsid w:val="0094736C"/>
    <w:rsid w:val="0095008A"/>
    <w:rsid w:val="009501BE"/>
    <w:rsid w:val="00950320"/>
    <w:rsid w:val="00950BB5"/>
    <w:rsid w:val="00950EDC"/>
    <w:rsid w:val="00951765"/>
    <w:rsid w:val="00951FF0"/>
    <w:rsid w:val="00953554"/>
    <w:rsid w:val="009539E0"/>
    <w:rsid w:val="00953E95"/>
    <w:rsid w:val="0095400D"/>
    <w:rsid w:val="0095453C"/>
    <w:rsid w:val="0095454D"/>
    <w:rsid w:val="00954A5C"/>
    <w:rsid w:val="00954C7B"/>
    <w:rsid w:val="0095504C"/>
    <w:rsid w:val="009557D7"/>
    <w:rsid w:val="00955D73"/>
    <w:rsid w:val="00955EF2"/>
    <w:rsid w:val="0095672F"/>
    <w:rsid w:val="00956A2D"/>
    <w:rsid w:val="009570CE"/>
    <w:rsid w:val="00957159"/>
    <w:rsid w:val="0095758C"/>
    <w:rsid w:val="00957C2E"/>
    <w:rsid w:val="009601A9"/>
    <w:rsid w:val="009601AA"/>
    <w:rsid w:val="00960393"/>
    <w:rsid w:val="0096042C"/>
    <w:rsid w:val="009611FE"/>
    <w:rsid w:val="00961B06"/>
    <w:rsid w:val="00961C00"/>
    <w:rsid w:val="00962005"/>
    <w:rsid w:val="00962ACF"/>
    <w:rsid w:val="00962B81"/>
    <w:rsid w:val="00963FFF"/>
    <w:rsid w:val="0096457A"/>
    <w:rsid w:val="00964AEB"/>
    <w:rsid w:val="00965BDC"/>
    <w:rsid w:val="009662BA"/>
    <w:rsid w:val="009677A1"/>
    <w:rsid w:val="0096787C"/>
    <w:rsid w:val="009678AC"/>
    <w:rsid w:val="009702BF"/>
    <w:rsid w:val="0097076C"/>
    <w:rsid w:val="00970B94"/>
    <w:rsid w:val="00971FE3"/>
    <w:rsid w:val="0097200C"/>
    <w:rsid w:val="00972044"/>
    <w:rsid w:val="0097251B"/>
    <w:rsid w:val="00972824"/>
    <w:rsid w:val="00973AD1"/>
    <w:rsid w:val="00973BC7"/>
    <w:rsid w:val="00974366"/>
    <w:rsid w:val="00974B4D"/>
    <w:rsid w:val="00974BD8"/>
    <w:rsid w:val="00975343"/>
    <w:rsid w:val="00975597"/>
    <w:rsid w:val="00976235"/>
    <w:rsid w:val="0097689B"/>
    <w:rsid w:val="00976B91"/>
    <w:rsid w:val="00977325"/>
    <w:rsid w:val="00981332"/>
    <w:rsid w:val="00981BB3"/>
    <w:rsid w:val="00982625"/>
    <w:rsid w:val="00982B87"/>
    <w:rsid w:val="00982B91"/>
    <w:rsid w:val="00982D10"/>
    <w:rsid w:val="0098375B"/>
    <w:rsid w:val="00983FE6"/>
    <w:rsid w:val="009845CD"/>
    <w:rsid w:val="00984B0C"/>
    <w:rsid w:val="00984B11"/>
    <w:rsid w:val="00984C0C"/>
    <w:rsid w:val="00984D86"/>
    <w:rsid w:val="0098517E"/>
    <w:rsid w:val="00986770"/>
    <w:rsid w:val="009879F4"/>
    <w:rsid w:val="00987AE2"/>
    <w:rsid w:val="00990361"/>
    <w:rsid w:val="009905F1"/>
    <w:rsid w:val="00991674"/>
    <w:rsid w:val="00991D39"/>
    <w:rsid w:val="009922A2"/>
    <w:rsid w:val="009929F5"/>
    <w:rsid w:val="009932D8"/>
    <w:rsid w:val="009944F4"/>
    <w:rsid w:val="00994E5F"/>
    <w:rsid w:val="0099503D"/>
    <w:rsid w:val="009951A8"/>
    <w:rsid w:val="0099571E"/>
    <w:rsid w:val="00995A79"/>
    <w:rsid w:val="00995B5F"/>
    <w:rsid w:val="00995DC2"/>
    <w:rsid w:val="00995E12"/>
    <w:rsid w:val="0099711C"/>
    <w:rsid w:val="00997267"/>
    <w:rsid w:val="00997401"/>
    <w:rsid w:val="00997FFA"/>
    <w:rsid w:val="009A02B5"/>
    <w:rsid w:val="009A0599"/>
    <w:rsid w:val="009A0726"/>
    <w:rsid w:val="009A1066"/>
    <w:rsid w:val="009A10A4"/>
    <w:rsid w:val="009A1956"/>
    <w:rsid w:val="009A1CA2"/>
    <w:rsid w:val="009A3460"/>
    <w:rsid w:val="009A37F4"/>
    <w:rsid w:val="009A40FF"/>
    <w:rsid w:val="009A4881"/>
    <w:rsid w:val="009A4F53"/>
    <w:rsid w:val="009A512B"/>
    <w:rsid w:val="009A52B1"/>
    <w:rsid w:val="009A52F8"/>
    <w:rsid w:val="009A593A"/>
    <w:rsid w:val="009A6A77"/>
    <w:rsid w:val="009A6DAA"/>
    <w:rsid w:val="009A6E21"/>
    <w:rsid w:val="009A6F47"/>
    <w:rsid w:val="009A7CF7"/>
    <w:rsid w:val="009B05EC"/>
    <w:rsid w:val="009B081C"/>
    <w:rsid w:val="009B0C1F"/>
    <w:rsid w:val="009B0D02"/>
    <w:rsid w:val="009B0DAA"/>
    <w:rsid w:val="009B0FAB"/>
    <w:rsid w:val="009B15CA"/>
    <w:rsid w:val="009B1666"/>
    <w:rsid w:val="009B1AB3"/>
    <w:rsid w:val="009B2B62"/>
    <w:rsid w:val="009B2EC9"/>
    <w:rsid w:val="009B2ECD"/>
    <w:rsid w:val="009B3745"/>
    <w:rsid w:val="009B3909"/>
    <w:rsid w:val="009B3B71"/>
    <w:rsid w:val="009B3C0A"/>
    <w:rsid w:val="009B406A"/>
    <w:rsid w:val="009B412F"/>
    <w:rsid w:val="009B45D3"/>
    <w:rsid w:val="009B4F13"/>
    <w:rsid w:val="009B4F4D"/>
    <w:rsid w:val="009B51D9"/>
    <w:rsid w:val="009B5321"/>
    <w:rsid w:val="009B59A2"/>
    <w:rsid w:val="009B675F"/>
    <w:rsid w:val="009B6A14"/>
    <w:rsid w:val="009B7745"/>
    <w:rsid w:val="009B7C5F"/>
    <w:rsid w:val="009B7EFB"/>
    <w:rsid w:val="009C031D"/>
    <w:rsid w:val="009C0CBA"/>
    <w:rsid w:val="009C17F3"/>
    <w:rsid w:val="009C1874"/>
    <w:rsid w:val="009C19B6"/>
    <w:rsid w:val="009C232F"/>
    <w:rsid w:val="009C2A9A"/>
    <w:rsid w:val="009C3063"/>
    <w:rsid w:val="009C365A"/>
    <w:rsid w:val="009C3673"/>
    <w:rsid w:val="009C39A3"/>
    <w:rsid w:val="009C4833"/>
    <w:rsid w:val="009C488D"/>
    <w:rsid w:val="009C49BB"/>
    <w:rsid w:val="009C4ADF"/>
    <w:rsid w:val="009C4E55"/>
    <w:rsid w:val="009C5A1D"/>
    <w:rsid w:val="009C5A4C"/>
    <w:rsid w:val="009C6109"/>
    <w:rsid w:val="009C6BB9"/>
    <w:rsid w:val="009C75AF"/>
    <w:rsid w:val="009C77A0"/>
    <w:rsid w:val="009C784D"/>
    <w:rsid w:val="009C78AB"/>
    <w:rsid w:val="009C7B05"/>
    <w:rsid w:val="009C7B81"/>
    <w:rsid w:val="009C7E16"/>
    <w:rsid w:val="009C7ED5"/>
    <w:rsid w:val="009D0353"/>
    <w:rsid w:val="009D0BF5"/>
    <w:rsid w:val="009D1C22"/>
    <w:rsid w:val="009D27E2"/>
    <w:rsid w:val="009D2D79"/>
    <w:rsid w:val="009D2DB9"/>
    <w:rsid w:val="009D3760"/>
    <w:rsid w:val="009D3955"/>
    <w:rsid w:val="009D3B1F"/>
    <w:rsid w:val="009D44B0"/>
    <w:rsid w:val="009D46F7"/>
    <w:rsid w:val="009D47F8"/>
    <w:rsid w:val="009D4ECF"/>
    <w:rsid w:val="009D5C99"/>
    <w:rsid w:val="009D6216"/>
    <w:rsid w:val="009D66A4"/>
    <w:rsid w:val="009D6AE5"/>
    <w:rsid w:val="009D7556"/>
    <w:rsid w:val="009E1BEA"/>
    <w:rsid w:val="009E1BF4"/>
    <w:rsid w:val="009E1E60"/>
    <w:rsid w:val="009E23F2"/>
    <w:rsid w:val="009E2D62"/>
    <w:rsid w:val="009E2F7C"/>
    <w:rsid w:val="009E3328"/>
    <w:rsid w:val="009E3838"/>
    <w:rsid w:val="009E4814"/>
    <w:rsid w:val="009E5094"/>
    <w:rsid w:val="009E51A7"/>
    <w:rsid w:val="009E61E2"/>
    <w:rsid w:val="009E6A18"/>
    <w:rsid w:val="009E6A24"/>
    <w:rsid w:val="009E6E56"/>
    <w:rsid w:val="009E76FD"/>
    <w:rsid w:val="009F0EBE"/>
    <w:rsid w:val="009F163D"/>
    <w:rsid w:val="009F23AB"/>
    <w:rsid w:val="009F26D6"/>
    <w:rsid w:val="009F291A"/>
    <w:rsid w:val="009F2EAB"/>
    <w:rsid w:val="009F3150"/>
    <w:rsid w:val="009F34A3"/>
    <w:rsid w:val="009F45EF"/>
    <w:rsid w:val="009F46C8"/>
    <w:rsid w:val="009F4848"/>
    <w:rsid w:val="009F5327"/>
    <w:rsid w:val="009F55C5"/>
    <w:rsid w:val="009F56B5"/>
    <w:rsid w:val="009F5869"/>
    <w:rsid w:val="009F6648"/>
    <w:rsid w:val="009F70C9"/>
    <w:rsid w:val="009F75BC"/>
    <w:rsid w:val="00A01AB0"/>
    <w:rsid w:val="00A0233A"/>
    <w:rsid w:val="00A027B0"/>
    <w:rsid w:val="00A03487"/>
    <w:rsid w:val="00A03990"/>
    <w:rsid w:val="00A0494C"/>
    <w:rsid w:val="00A05093"/>
    <w:rsid w:val="00A0524D"/>
    <w:rsid w:val="00A058D6"/>
    <w:rsid w:val="00A061B5"/>
    <w:rsid w:val="00A06805"/>
    <w:rsid w:val="00A06BE3"/>
    <w:rsid w:val="00A06CE4"/>
    <w:rsid w:val="00A076CF"/>
    <w:rsid w:val="00A078A3"/>
    <w:rsid w:val="00A107AD"/>
    <w:rsid w:val="00A10AC1"/>
    <w:rsid w:val="00A10D85"/>
    <w:rsid w:val="00A12173"/>
    <w:rsid w:val="00A121FF"/>
    <w:rsid w:val="00A12A82"/>
    <w:rsid w:val="00A13660"/>
    <w:rsid w:val="00A137FB"/>
    <w:rsid w:val="00A13840"/>
    <w:rsid w:val="00A13CDA"/>
    <w:rsid w:val="00A14A17"/>
    <w:rsid w:val="00A14A68"/>
    <w:rsid w:val="00A14D8F"/>
    <w:rsid w:val="00A14EE7"/>
    <w:rsid w:val="00A15223"/>
    <w:rsid w:val="00A15699"/>
    <w:rsid w:val="00A15B40"/>
    <w:rsid w:val="00A15DD8"/>
    <w:rsid w:val="00A162D1"/>
    <w:rsid w:val="00A16AF3"/>
    <w:rsid w:val="00A17827"/>
    <w:rsid w:val="00A17870"/>
    <w:rsid w:val="00A17940"/>
    <w:rsid w:val="00A17C7A"/>
    <w:rsid w:val="00A2080C"/>
    <w:rsid w:val="00A215EE"/>
    <w:rsid w:val="00A21AA6"/>
    <w:rsid w:val="00A21B88"/>
    <w:rsid w:val="00A21BAF"/>
    <w:rsid w:val="00A21EAB"/>
    <w:rsid w:val="00A2200D"/>
    <w:rsid w:val="00A22E2C"/>
    <w:rsid w:val="00A23503"/>
    <w:rsid w:val="00A24102"/>
    <w:rsid w:val="00A2472C"/>
    <w:rsid w:val="00A247A3"/>
    <w:rsid w:val="00A2492A"/>
    <w:rsid w:val="00A24BD0"/>
    <w:rsid w:val="00A2520B"/>
    <w:rsid w:val="00A25345"/>
    <w:rsid w:val="00A257EE"/>
    <w:rsid w:val="00A26546"/>
    <w:rsid w:val="00A2664B"/>
    <w:rsid w:val="00A26CB2"/>
    <w:rsid w:val="00A2756A"/>
    <w:rsid w:val="00A279F8"/>
    <w:rsid w:val="00A27D01"/>
    <w:rsid w:val="00A27F94"/>
    <w:rsid w:val="00A30368"/>
    <w:rsid w:val="00A304CA"/>
    <w:rsid w:val="00A30994"/>
    <w:rsid w:val="00A30B78"/>
    <w:rsid w:val="00A30DF5"/>
    <w:rsid w:val="00A31582"/>
    <w:rsid w:val="00A3194D"/>
    <w:rsid w:val="00A31EC1"/>
    <w:rsid w:val="00A3234E"/>
    <w:rsid w:val="00A32542"/>
    <w:rsid w:val="00A327BD"/>
    <w:rsid w:val="00A328ED"/>
    <w:rsid w:val="00A32DDB"/>
    <w:rsid w:val="00A32DF3"/>
    <w:rsid w:val="00A334B7"/>
    <w:rsid w:val="00A33830"/>
    <w:rsid w:val="00A33B94"/>
    <w:rsid w:val="00A340DD"/>
    <w:rsid w:val="00A34557"/>
    <w:rsid w:val="00A34951"/>
    <w:rsid w:val="00A35358"/>
    <w:rsid w:val="00A35728"/>
    <w:rsid w:val="00A35F43"/>
    <w:rsid w:val="00A36199"/>
    <w:rsid w:val="00A36938"/>
    <w:rsid w:val="00A37142"/>
    <w:rsid w:val="00A37253"/>
    <w:rsid w:val="00A40A22"/>
    <w:rsid w:val="00A41073"/>
    <w:rsid w:val="00A4146A"/>
    <w:rsid w:val="00A41660"/>
    <w:rsid w:val="00A41C47"/>
    <w:rsid w:val="00A41F18"/>
    <w:rsid w:val="00A4208E"/>
    <w:rsid w:val="00A423AB"/>
    <w:rsid w:val="00A425F4"/>
    <w:rsid w:val="00A431B9"/>
    <w:rsid w:val="00A432F2"/>
    <w:rsid w:val="00A438F7"/>
    <w:rsid w:val="00A442E1"/>
    <w:rsid w:val="00A442F7"/>
    <w:rsid w:val="00A449BA"/>
    <w:rsid w:val="00A44AAF"/>
    <w:rsid w:val="00A44DEB"/>
    <w:rsid w:val="00A45463"/>
    <w:rsid w:val="00A45810"/>
    <w:rsid w:val="00A458DB"/>
    <w:rsid w:val="00A46335"/>
    <w:rsid w:val="00A46497"/>
    <w:rsid w:val="00A46698"/>
    <w:rsid w:val="00A467A9"/>
    <w:rsid w:val="00A46EA9"/>
    <w:rsid w:val="00A472A6"/>
    <w:rsid w:val="00A47688"/>
    <w:rsid w:val="00A479B9"/>
    <w:rsid w:val="00A47F33"/>
    <w:rsid w:val="00A502CF"/>
    <w:rsid w:val="00A504FC"/>
    <w:rsid w:val="00A5071D"/>
    <w:rsid w:val="00A508F3"/>
    <w:rsid w:val="00A51766"/>
    <w:rsid w:val="00A526FC"/>
    <w:rsid w:val="00A52781"/>
    <w:rsid w:val="00A52E4A"/>
    <w:rsid w:val="00A5308B"/>
    <w:rsid w:val="00A53726"/>
    <w:rsid w:val="00A53C01"/>
    <w:rsid w:val="00A5474E"/>
    <w:rsid w:val="00A547C0"/>
    <w:rsid w:val="00A5533B"/>
    <w:rsid w:val="00A5567B"/>
    <w:rsid w:val="00A55715"/>
    <w:rsid w:val="00A564DD"/>
    <w:rsid w:val="00A56D2A"/>
    <w:rsid w:val="00A5789A"/>
    <w:rsid w:val="00A57964"/>
    <w:rsid w:val="00A57C47"/>
    <w:rsid w:val="00A60052"/>
    <w:rsid w:val="00A60540"/>
    <w:rsid w:val="00A60630"/>
    <w:rsid w:val="00A60CFE"/>
    <w:rsid w:val="00A60E17"/>
    <w:rsid w:val="00A60FA0"/>
    <w:rsid w:val="00A61695"/>
    <w:rsid w:val="00A61741"/>
    <w:rsid w:val="00A6177C"/>
    <w:rsid w:val="00A61CAF"/>
    <w:rsid w:val="00A61D5E"/>
    <w:rsid w:val="00A6210E"/>
    <w:rsid w:val="00A62FE7"/>
    <w:rsid w:val="00A632D4"/>
    <w:rsid w:val="00A635ED"/>
    <w:rsid w:val="00A63F79"/>
    <w:rsid w:val="00A64620"/>
    <w:rsid w:val="00A64B09"/>
    <w:rsid w:val="00A64E2E"/>
    <w:rsid w:val="00A652E9"/>
    <w:rsid w:val="00A656EE"/>
    <w:rsid w:val="00A65798"/>
    <w:rsid w:val="00A66368"/>
    <w:rsid w:val="00A66553"/>
    <w:rsid w:val="00A66BB9"/>
    <w:rsid w:val="00A67811"/>
    <w:rsid w:val="00A679B3"/>
    <w:rsid w:val="00A6F326"/>
    <w:rsid w:val="00A7024E"/>
    <w:rsid w:val="00A703BD"/>
    <w:rsid w:val="00A7063F"/>
    <w:rsid w:val="00A70BB9"/>
    <w:rsid w:val="00A70E7A"/>
    <w:rsid w:val="00A70E9D"/>
    <w:rsid w:val="00A711CD"/>
    <w:rsid w:val="00A713F0"/>
    <w:rsid w:val="00A71C4A"/>
    <w:rsid w:val="00A71FA5"/>
    <w:rsid w:val="00A720B0"/>
    <w:rsid w:val="00A72772"/>
    <w:rsid w:val="00A72854"/>
    <w:rsid w:val="00A7292F"/>
    <w:rsid w:val="00A72C4D"/>
    <w:rsid w:val="00A7376F"/>
    <w:rsid w:val="00A73999"/>
    <w:rsid w:val="00A73C2D"/>
    <w:rsid w:val="00A74157"/>
    <w:rsid w:val="00A74392"/>
    <w:rsid w:val="00A74568"/>
    <w:rsid w:val="00A748E8"/>
    <w:rsid w:val="00A74F09"/>
    <w:rsid w:val="00A75578"/>
    <w:rsid w:val="00A75F02"/>
    <w:rsid w:val="00A76251"/>
    <w:rsid w:val="00A76530"/>
    <w:rsid w:val="00A765D1"/>
    <w:rsid w:val="00A76763"/>
    <w:rsid w:val="00A7766F"/>
    <w:rsid w:val="00A776E4"/>
    <w:rsid w:val="00A80445"/>
    <w:rsid w:val="00A80DA2"/>
    <w:rsid w:val="00A81033"/>
    <w:rsid w:val="00A8218D"/>
    <w:rsid w:val="00A822AA"/>
    <w:rsid w:val="00A82AC0"/>
    <w:rsid w:val="00A82BE5"/>
    <w:rsid w:val="00A82C5A"/>
    <w:rsid w:val="00A82F4F"/>
    <w:rsid w:val="00A8303C"/>
    <w:rsid w:val="00A836C7"/>
    <w:rsid w:val="00A83F9B"/>
    <w:rsid w:val="00A84092"/>
    <w:rsid w:val="00A8435E"/>
    <w:rsid w:val="00A84519"/>
    <w:rsid w:val="00A8482D"/>
    <w:rsid w:val="00A851A9"/>
    <w:rsid w:val="00A851AE"/>
    <w:rsid w:val="00A8590E"/>
    <w:rsid w:val="00A864B7"/>
    <w:rsid w:val="00A86A96"/>
    <w:rsid w:val="00A86D7D"/>
    <w:rsid w:val="00A87060"/>
    <w:rsid w:val="00A878CD"/>
    <w:rsid w:val="00A90028"/>
    <w:rsid w:val="00A90057"/>
    <w:rsid w:val="00A901DF"/>
    <w:rsid w:val="00A905A3"/>
    <w:rsid w:val="00A90B3E"/>
    <w:rsid w:val="00A90B41"/>
    <w:rsid w:val="00A90F52"/>
    <w:rsid w:val="00A9155F"/>
    <w:rsid w:val="00A91857"/>
    <w:rsid w:val="00A91BE0"/>
    <w:rsid w:val="00A91C87"/>
    <w:rsid w:val="00A9245B"/>
    <w:rsid w:val="00A927B4"/>
    <w:rsid w:val="00A93442"/>
    <w:rsid w:val="00A93473"/>
    <w:rsid w:val="00A93528"/>
    <w:rsid w:val="00A93587"/>
    <w:rsid w:val="00A93653"/>
    <w:rsid w:val="00A939AA"/>
    <w:rsid w:val="00A93D5D"/>
    <w:rsid w:val="00A944EF"/>
    <w:rsid w:val="00A94F3F"/>
    <w:rsid w:val="00A95DD9"/>
    <w:rsid w:val="00A964E9"/>
    <w:rsid w:val="00A966CC"/>
    <w:rsid w:val="00A9681D"/>
    <w:rsid w:val="00A970A7"/>
    <w:rsid w:val="00A971B8"/>
    <w:rsid w:val="00A975A6"/>
    <w:rsid w:val="00A97E95"/>
    <w:rsid w:val="00AA00E0"/>
    <w:rsid w:val="00AA156B"/>
    <w:rsid w:val="00AA176F"/>
    <w:rsid w:val="00AA2086"/>
    <w:rsid w:val="00AA28DD"/>
    <w:rsid w:val="00AA28E1"/>
    <w:rsid w:val="00AA2A1D"/>
    <w:rsid w:val="00AA2A36"/>
    <w:rsid w:val="00AA2C2B"/>
    <w:rsid w:val="00AA2F6F"/>
    <w:rsid w:val="00AA32AE"/>
    <w:rsid w:val="00AA4ABF"/>
    <w:rsid w:val="00AA4DBC"/>
    <w:rsid w:val="00AA4FE3"/>
    <w:rsid w:val="00AA53C8"/>
    <w:rsid w:val="00AA5AA3"/>
    <w:rsid w:val="00AA5E38"/>
    <w:rsid w:val="00AA5E9D"/>
    <w:rsid w:val="00AA6036"/>
    <w:rsid w:val="00AA66E0"/>
    <w:rsid w:val="00AA685D"/>
    <w:rsid w:val="00AA6DF1"/>
    <w:rsid w:val="00AA6E55"/>
    <w:rsid w:val="00AA7351"/>
    <w:rsid w:val="00AB001E"/>
    <w:rsid w:val="00AB02DF"/>
    <w:rsid w:val="00AB06DA"/>
    <w:rsid w:val="00AB0ECF"/>
    <w:rsid w:val="00AB0F53"/>
    <w:rsid w:val="00AB1756"/>
    <w:rsid w:val="00AB1D0E"/>
    <w:rsid w:val="00AB20E7"/>
    <w:rsid w:val="00AB2114"/>
    <w:rsid w:val="00AB2230"/>
    <w:rsid w:val="00AB27AC"/>
    <w:rsid w:val="00AB31A1"/>
    <w:rsid w:val="00AB39A1"/>
    <w:rsid w:val="00AB3FF0"/>
    <w:rsid w:val="00AB4B44"/>
    <w:rsid w:val="00AB4FBD"/>
    <w:rsid w:val="00AB5315"/>
    <w:rsid w:val="00AB59C9"/>
    <w:rsid w:val="00AB628F"/>
    <w:rsid w:val="00AB62C4"/>
    <w:rsid w:val="00AB647E"/>
    <w:rsid w:val="00AB7BC9"/>
    <w:rsid w:val="00AB7E8A"/>
    <w:rsid w:val="00AB7FDB"/>
    <w:rsid w:val="00AC025A"/>
    <w:rsid w:val="00AC0365"/>
    <w:rsid w:val="00AC0798"/>
    <w:rsid w:val="00AC0AB7"/>
    <w:rsid w:val="00AC1006"/>
    <w:rsid w:val="00AC1583"/>
    <w:rsid w:val="00AC2987"/>
    <w:rsid w:val="00AC2BE6"/>
    <w:rsid w:val="00AC2EAD"/>
    <w:rsid w:val="00AC3206"/>
    <w:rsid w:val="00AC391F"/>
    <w:rsid w:val="00AC478C"/>
    <w:rsid w:val="00AC480D"/>
    <w:rsid w:val="00AC50B3"/>
    <w:rsid w:val="00AC5281"/>
    <w:rsid w:val="00AC535F"/>
    <w:rsid w:val="00AC5393"/>
    <w:rsid w:val="00AC53BA"/>
    <w:rsid w:val="00AC5A3D"/>
    <w:rsid w:val="00AC5ACC"/>
    <w:rsid w:val="00AC631D"/>
    <w:rsid w:val="00AC6658"/>
    <w:rsid w:val="00AC6B83"/>
    <w:rsid w:val="00AC778D"/>
    <w:rsid w:val="00AD0143"/>
    <w:rsid w:val="00AD0A01"/>
    <w:rsid w:val="00AD12A6"/>
    <w:rsid w:val="00AD18C1"/>
    <w:rsid w:val="00AD1B86"/>
    <w:rsid w:val="00AD1E4C"/>
    <w:rsid w:val="00AD2285"/>
    <w:rsid w:val="00AD23D0"/>
    <w:rsid w:val="00AD27DE"/>
    <w:rsid w:val="00AD28C6"/>
    <w:rsid w:val="00AD2FE9"/>
    <w:rsid w:val="00AD3091"/>
    <w:rsid w:val="00AD329E"/>
    <w:rsid w:val="00AD44C6"/>
    <w:rsid w:val="00AD46C0"/>
    <w:rsid w:val="00AD4A6E"/>
    <w:rsid w:val="00AD4E81"/>
    <w:rsid w:val="00AD5627"/>
    <w:rsid w:val="00AD582A"/>
    <w:rsid w:val="00AD5C31"/>
    <w:rsid w:val="00AD5FB9"/>
    <w:rsid w:val="00AD601A"/>
    <w:rsid w:val="00AD629D"/>
    <w:rsid w:val="00AD646F"/>
    <w:rsid w:val="00AD6684"/>
    <w:rsid w:val="00AD6E9D"/>
    <w:rsid w:val="00AE0525"/>
    <w:rsid w:val="00AE0541"/>
    <w:rsid w:val="00AE07D4"/>
    <w:rsid w:val="00AE11EC"/>
    <w:rsid w:val="00AE1AEA"/>
    <w:rsid w:val="00AE1AF3"/>
    <w:rsid w:val="00AE1B31"/>
    <w:rsid w:val="00AE1E61"/>
    <w:rsid w:val="00AE2090"/>
    <w:rsid w:val="00AE2596"/>
    <w:rsid w:val="00AE27BC"/>
    <w:rsid w:val="00AE2805"/>
    <w:rsid w:val="00AE2FCE"/>
    <w:rsid w:val="00AE457E"/>
    <w:rsid w:val="00AE47F9"/>
    <w:rsid w:val="00AE49AC"/>
    <w:rsid w:val="00AE4D23"/>
    <w:rsid w:val="00AE4EC8"/>
    <w:rsid w:val="00AE6121"/>
    <w:rsid w:val="00AE6243"/>
    <w:rsid w:val="00AE660C"/>
    <w:rsid w:val="00AE695B"/>
    <w:rsid w:val="00AE69A1"/>
    <w:rsid w:val="00AE69AD"/>
    <w:rsid w:val="00AE6D20"/>
    <w:rsid w:val="00AE7427"/>
    <w:rsid w:val="00AE7798"/>
    <w:rsid w:val="00AE7A8A"/>
    <w:rsid w:val="00AE7E9E"/>
    <w:rsid w:val="00AF02E0"/>
    <w:rsid w:val="00AF0611"/>
    <w:rsid w:val="00AF10F1"/>
    <w:rsid w:val="00AF117E"/>
    <w:rsid w:val="00AF128F"/>
    <w:rsid w:val="00AF1595"/>
    <w:rsid w:val="00AF167F"/>
    <w:rsid w:val="00AF2855"/>
    <w:rsid w:val="00AF3079"/>
    <w:rsid w:val="00AF34FB"/>
    <w:rsid w:val="00AF3716"/>
    <w:rsid w:val="00AF4007"/>
    <w:rsid w:val="00AF4274"/>
    <w:rsid w:val="00AF4A50"/>
    <w:rsid w:val="00AF52B0"/>
    <w:rsid w:val="00AF55C0"/>
    <w:rsid w:val="00AF5B9C"/>
    <w:rsid w:val="00AF5C97"/>
    <w:rsid w:val="00AF5F78"/>
    <w:rsid w:val="00AF6C8B"/>
    <w:rsid w:val="00AF6EE8"/>
    <w:rsid w:val="00AF727E"/>
    <w:rsid w:val="00B0055D"/>
    <w:rsid w:val="00B00A6C"/>
    <w:rsid w:val="00B00BC7"/>
    <w:rsid w:val="00B012BC"/>
    <w:rsid w:val="00B015EE"/>
    <w:rsid w:val="00B01639"/>
    <w:rsid w:val="00B016F4"/>
    <w:rsid w:val="00B01CE6"/>
    <w:rsid w:val="00B024A0"/>
    <w:rsid w:val="00B024AE"/>
    <w:rsid w:val="00B0266D"/>
    <w:rsid w:val="00B02B0C"/>
    <w:rsid w:val="00B0332A"/>
    <w:rsid w:val="00B0332F"/>
    <w:rsid w:val="00B039C7"/>
    <w:rsid w:val="00B047B9"/>
    <w:rsid w:val="00B05004"/>
    <w:rsid w:val="00B05669"/>
    <w:rsid w:val="00B05CA3"/>
    <w:rsid w:val="00B05E62"/>
    <w:rsid w:val="00B0601A"/>
    <w:rsid w:val="00B06152"/>
    <w:rsid w:val="00B06D3A"/>
    <w:rsid w:val="00B06E4A"/>
    <w:rsid w:val="00B07B3F"/>
    <w:rsid w:val="00B106D7"/>
    <w:rsid w:val="00B10866"/>
    <w:rsid w:val="00B109D4"/>
    <w:rsid w:val="00B10F2C"/>
    <w:rsid w:val="00B11D70"/>
    <w:rsid w:val="00B12356"/>
    <w:rsid w:val="00B12BCC"/>
    <w:rsid w:val="00B12C18"/>
    <w:rsid w:val="00B12FB9"/>
    <w:rsid w:val="00B134F9"/>
    <w:rsid w:val="00B13E3B"/>
    <w:rsid w:val="00B152B6"/>
    <w:rsid w:val="00B158AB"/>
    <w:rsid w:val="00B158CF"/>
    <w:rsid w:val="00B15AD9"/>
    <w:rsid w:val="00B161DB"/>
    <w:rsid w:val="00B16683"/>
    <w:rsid w:val="00B16ED8"/>
    <w:rsid w:val="00B17E1B"/>
    <w:rsid w:val="00B202EA"/>
    <w:rsid w:val="00B213CE"/>
    <w:rsid w:val="00B218B7"/>
    <w:rsid w:val="00B22013"/>
    <w:rsid w:val="00B226B5"/>
    <w:rsid w:val="00B2295D"/>
    <w:rsid w:val="00B22BF4"/>
    <w:rsid w:val="00B22C08"/>
    <w:rsid w:val="00B23998"/>
    <w:rsid w:val="00B23C1D"/>
    <w:rsid w:val="00B249DC"/>
    <w:rsid w:val="00B24C7F"/>
    <w:rsid w:val="00B24D58"/>
    <w:rsid w:val="00B24EF2"/>
    <w:rsid w:val="00B24F80"/>
    <w:rsid w:val="00B257B5"/>
    <w:rsid w:val="00B25B90"/>
    <w:rsid w:val="00B26797"/>
    <w:rsid w:val="00B27691"/>
    <w:rsid w:val="00B27EA5"/>
    <w:rsid w:val="00B30225"/>
    <w:rsid w:val="00B30461"/>
    <w:rsid w:val="00B30A0D"/>
    <w:rsid w:val="00B3236C"/>
    <w:rsid w:val="00B33B7E"/>
    <w:rsid w:val="00B34B8D"/>
    <w:rsid w:val="00B34C97"/>
    <w:rsid w:val="00B34F78"/>
    <w:rsid w:val="00B35A52"/>
    <w:rsid w:val="00B35E3E"/>
    <w:rsid w:val="00B36C5E"/>
    <w:rsid w:val="00B37533"/>
    <w:rsid w:val="00B37F39"/>
    <w:rsid w:val="00B40041"/>
    <w:rsid w:val="00B402E0"/>
    <w:rsid w:val="00B406ED"/>
    <w:rsid w:val="00B40822"/>
    <w:rsid w:val="00B40957"/>
    <w:rsid w:val="00B415E2"/>
    <w:rsid w:val="00B41953"/>
    <w:rsid w:val="00B422CF"/>
    <w:rsid w:val="00B425F9"/>
    <w:rsid w:val="00B42A6A"/>
    <w:rsid w:val="00B42DFD"/>
    <w:rsid w:val="00B43332"/>
    <w:rsid w:val="00B43A83"/>
    <w:rsid w:val="00B4444E"/>
    <w:rsid w:val="00B4456A"/>
    <w:rsid w:val="00B445F2"/>
    <w:rsid w:val="00B4477D"/>
    <w:rsid w:val="00B448A1"/>
    <w:rsid w:val="00B4492A"/>
    <w:rsid w:val="00B4528F"/>
    <w:rsid w:val="00B4529C"/>
    <w:rsid w:val="00B4553A"/>
    <w:rsid w:val="00B458DB"/>
    <w:rsid w:val="00B4598F"/>
    <w:rsid w:val="00B45EE0"/>
    <w:rsid w:val="00B46574"/>
    <w:rsid w:val="00B46883"/>
    <w:rsid w:val="00B46F07"/>
    <w:rsid w:val="00B4799B"/>
    <w:rsid w:val="00B503A7"/>
    <w:rsid w:val="00B5090F"/>
    <w:rsid w:val="00B50BC9"/>
    <w:rsid w:val="00B52088"/>
    <w:rsid w:val="00B520A8"/>
    <w:rsid w:val="00B525B4"/>
    <w:rsid w:val="00B52FCB"/>
    <w:rsid w:val="00B530A6"/>
    <w:rsid w:val="00B5338F"/>
    <w:rsid w:val="00B541D8"/>
    <w:rsid w:val="00B54259"/>
    <w:rsid w:val="00B542A9"/>
    <w:rsid w:val="00B548A5"/>
    <w:rsid w:val="00B5508D"/>
    <w:rsid w:val="00B5547F"/>
    <w:rsid w:val="00B55A0A"/>
    <w:rsid w:val="00B55D1E"/>
    <w:rsid w:val="00B5614F"/>
    <w:rsid w:val="00B56587"/>
    <w:rsid w:val="00B56CAA"/>
    <w:rsid w:val="00B56F80"/>
    <w:rsid w:val="00B574A3"/>
    <w:rsid w:val="00B60896"/>
    <w:rsid w:val="00B60EE2"/>
    <w:rsid w:val="00B616FC"/>
    <w:rsid w:val="00B6234E"/>
    <w:rsid w:val="00B625E8"/>
    <w:rsid w:val="00B629F4"/>
    <w:rsid w:val="00B62A38"/>
    <w:rsid w:val="00B62F30"/>
    <w:rsid w:val="00B63687"/>
    <w:rsid w:val="00B6377E"/>
    <w:rsid w:val="00B6379B"/>
    <w:rsid w:val="00B637C6"/>
    <w:rsid w:val="00B63A3C"/>
    <w:rsid w:val="00B642A1"/>
    <w:rsid w:val="00B64479"/>
    <w:rsid w:val="00B64491"/>
    <w:rsid w:val="00B6462F"/>
    <w:rsid w:val="00B64EA5"/>
    <w:rsid w:val="00B65163"/>
    <w:rsid w:val="00B656D1"/>
    <w:rsid w:val="00B65777"/>
    <w:rsid w:val="00B663D4"/>
    <w:rsid w:val="00B66599"/>
    <w:rsid w:val="00B6660E"/>
    <w:rsid w:val="00B67948"/>
    <w:rsid w:val="00B70C98"/>
    <w:rsid w:val="00B71DA1"/>
    <w:rsid w:val="00B723ED"/>
    <w:rsid w:val="00B727B8"/>
    <w:rsid w:val="00B73F6C"/>
    <w:rsid w:val="00B74440"/>
    <w:rsid w:val="00B744E6"/>
    <w:rsid w:val="00B748D2"/>
    <w:rsid w:val="00B748D8"/>
    <w:rsid w:val="00B74DD1"/>
    <w:rsid w:val="00B751C8"/>
    <w:rsid w:val="00B7586B"/>
    <w:rsid w:val="00B758D0"/>
    <w:rsid w:val="00B75943"/>
    <w:rsid w:val="00B75B66"/>
    <w:rsid w:val="00B76AF8"/>
    <w:rsid w:val="00B76CEC"/>
    <w:rsid w:val="00B76EDD"/>
    <w:rsid w:val="00B77D0F"/>
    <w:rsid w:val="00B80435"/>
    <w:rsid w:val="00B80DBC"/>
    <w:rsid w:val="00B81354"/>
    <w:rsid w:val="00B81760"/>
    <w:rsid w:val="00B81F54"/>
    <w:rsid w:val="00B8202C"/>
    <w:rsid w:val="00B822FE"/>
    <w:rsid w:val="00B8496A"/>
    <w:rsid w:val="00B84E39"/>
    <w:rsid w:val="00B859E8"/>
    <w:rsid w:val="00B85B06"/>
    <w:rsid w:val="00B85BF1"/>
    <w:rsid w:val="00B86759"/>
    <w:rsid w:val="00B871D5"/>
    <w:rsid w:val="00B874BB"/>
    <w:rsid w:val="00B876D9"/>
    <w:rsid w:val="00B878C1"/>
    <w:rsid w:val="00B87A3E"/>
    <w:rsid w:val="00B87DE5"/>
    <w:rsid w:val="00B90224"/>
    <w:rsid w:val="00B902BA"/>
    <w:rsid w:val="00B907CD"/>
    <w:rsid w:val="00B90A94"/>
    <w:rsid w:val="00B91516"/>
    <w:rsid w:val="00B91948"/>
    <w:rsid w:val="00B919DF"/>
    <w:rsid w:val="00B91CDE"/>
    <w:rsid w:val="00B91FB2"/>
    <w:rsid w:val="00B92095"/>
    <w:rsid w:val="00B92CCC"/>
    <w:rsid w:val="00B9409E"/>
    <w:rsid w:val="00B94A0C"/>
    <w:rsid w:val="00B94B14"/>
    <w:rsid w:val="00B94BFB"/>
    <w:rsid w:val="00B9538D"/>
    <w:rsid w:val="00B953B5"/>
    <w:rsid w:val="00B9541C"/>
    <w:rsid w:val="00B95ED3"/>
    <w:rsid w:val="00B9601D"/>
    <w:rsid w:val="00B960D5"/>
    <w:rsid w:val="00B96C77"/>
    <w:rsid w:val="00B96E06"/>
    <w:rsid w:val="00B97B50"/>
    <w:rsid w:val="00B97C96"/>
    <w:rsid w:val="00B97D79"/>
    <w:rsid w:val="00B97F76"/>
    <w:rsid w:val="00BA02FA"/>
    <w:rsid w:val="00BA078D"/>
    <w:rsid w:val="00BA0906"/>
    <w:rsid w:val="00BA0A1E"/>
    <w:rsid w:val="00BA0BD9"/>
    <w:rsid w:val="00BA0C05"/>
    <w:rsid w:val="00BA0CA9"/>
    <w:rsid w:val="00BA0FF1"/>
    <w:rsid w:val="00BA113B"/>
    <w:rsid w:val="00BA1DDD"/>
    <w:rsid w:val="00BA1E27"/>
    <w:rsid w:val="00BA2103"/>
    <w:rsid w:val="00BA3A76"/>
    <w:rsid w:val="00BA4420"/>
    <w:rsid w:val="00BA443F"/>
    <w:rsid w:val="00BA4AA2"/>
    <w:rsid w:val="00BA4F67"/>
    <w:rsid w:val="00BA54F3"/>
    <w:rsid w:val="00BA56A7"/>
    <w:rsid w:val="00BA5B77"/>
    <w:rsid w:val="00BA5BD0"/>
    <w:rsid w:val="00BA6030"/>
    <w:rsid w:val="00BA6150"/>
    <w:rsid w:val="00BA7010"/>
    <w:rsid w:val="00BA7D19"/>
    <w:rsid w:val="00BA7F97"/>
    <w:rsid w:val="00BB016F"/>
    <w:rsid w:val="00BB09EE"/>
    <w:rsid w:val="00BB0B36"/>
    <w:rsid w:val="00BB15FC"/>
    <w:rsid w:val="00BB1FB7"/>
    <w:rsid w:val="00BB2407"/>
    <w:rsid w:val="00BB2A74"/>
    <w:rsid w:val="00BB2DA8"/>
    <w:rsid w:val="00BB33BC"/>
    <w:rsid w:val="00BB35D0"/>
    <w:rsid w:val="00BB38A3"/>
    <w:rsid w:val="00BB3D09"/>
    <w:rsid w:val="00BB3F3F"/>
    <w:rsid w:val="00BB455F"/>
    <w:rsid w:val="00BB4A79"/>
    <w:rsid w:val="00BB5446"/>
    <w:rsid w:val="00BB5BB5"/>
    <w:rsid w:val="00BB5BDF"/>
    <w:rsid w:val="00BB5C0D"/>
    <w:rsid w:val="00BB628E"/>
    <w:rsid w:val="00BB6DB8"/>
    <w:rsid w:val="00BB7BF8"/>
    <w:rsid w:val="00BC09D5"/>
    <w:rsid w:val="00BC1117"/>
    <w:rsid w:val="00BC12B6"/>
    <w:rsid w:val="00BC20A8"/>
    <w:rsid w:val="00BC2155"/>
    <w:rsid w:val="00BC23E0"/>
    <w:rsid w:val="00BC2DFC"/>
    <w:rsid w:val="00BC3497"/>
    <w:rsid w:val="00BC36D9"/>
    <w:rsid w:val="00BC45BC"/>
    <w:rsid w:val="00BC4926"/>
    <w:rsid w:val="00BC4C87"/>
    <w:rsid w:val="00BC5307"/>
    <w:rsid w:val="00BC5324"/>
    <w:rsid w:val="00BC59F8"/>
    <w:rsid w:val="00BC6455"/>
    <w:rsid w:val="00BC6723"/>
    <w:rsid w:val="00BC6BB2"/>
    <w:rsid w:val="00BC7559"/>
    <w:rsid w:val="00BC7883"/>
    <w:rsid w:val="00BC7AE7"/>
    <w:rsid w:val="00BD00E0"/>
    <w:rsid w:val="00BD01E9"/>
    <w:rsid w:val="00BD07C5"/>
    <w:rsid w:val="00BD094B"/>
    <w:rsid w:val="00BD121B"/>
    <w:rsid w:val="00BD1512"/>
    <w:rsid w:val="00BD19A4"/>
    <w:rsid w:val="00BD1EC7"/>
    <w:rsid w:val="00BD21ED"/>
    <w:rsid w:val="00BD27DD"/>
    <w:rsid w:val="00BD2B6A"/>
    <w:rsid w:val="00BD3778"/>
    <w:rsid w:val="00BD49EE"/>
    <w:rsid w:val="00BD4E30"/>
    <w:rsid w:val="00BD4F0A"/>
    <w:rsid w:val="00BD51CD"/>
    <w:rsid w:val="00BD5337"/>
    <w:rsid w:val="00BD5A5B"/>
    <w:rsid w:val="00BD5A8A"/>
    <w:rsid w:val="00BD5E3C"/>
    <w:rsid w:val="00BD66F2"/>
    <w:rsid w:val="00BD6DF0"/>
    <w:rsid w:val="00BD6DFC"/>
    <w:rsid w:val="00BD6EDB"/>
    <w:rsid w:val="00BD7012"/>
    <w:rsid w:val="00BD788E"/>
    <w:rsid w:val="00BD7E74"/>
    <w:rsid w:val="00BE0965"/>
    <w:rsid w:val="00BE0DD8"/>
    <w:rsid w:val="00BE105F"/>
    <w:rsid w:val="00BE15BA"/>
    <w:rsid w:val="00BE15C9"/>
    <w:rsid w:val="00BE2072"/>
    <w:rsid w:val="00BE2875"/>
    <w:rsid w:val="00BE2D56"/>
    <w:rsid w:val="00BE3D36"/>
    <w:rsid w:val="00BE4460"/>
    <w:rsid w:val="00BE501B"/>
    <w:rsid w:val="00BE5A04"/>
    <w:rsid w:val="00BE666B"/>
    <w:rsid w:val="00BE68CE"/>
    <w:rsid w:val="00BE6EA4"/>
    <w:rsid w:val="00BE7986"/>
    <w:rsid w:val="00BE7EC7"/>
    <w:rsid w:val="00BF0868"/>
    <w:rsid w:val="00BF101A"/>
    <w:rsid w:val="00BF12B4"/>
    <w:rsid w:val="00BF240C"/>
    <w:rsid w:val="00BF2E1F"/>
    <w:rsid w:val="00BF32E3"/>
    <w:rsid w:val="00BF364E"/>
    <w:rsid w:val="00BF3837"/>
    <w:rsid w:val="00BF4E9C"/>
    <w:rsid w:val="00BF4FBA"/>
    <w:rsid w:val="00BF50A1"/>
    <w:rsid w:val="00BF5870"/>
    <w:rsid w:val="00BF5C5E"/>
    <w:rsid w:val="00BF5CC4"/>
    <w:rsid w:val="00BF69FA"/>
    <w:rsid w:val="00BF6C2E"/>
    <w:rsid w:val="00BF6C35"/>
    <w:rsid w:val="00BF754D"/>
    <w:rsid w:val="00BF763A"/>
    <w:rsid w:val="00C000CF"/>
    <w:rsid w:val="00C00444"/>
    <w:rsid w:val="00C00CE6"/>
    <w:rsid w:val="00C00ECA"/>
    <w:rsid w:val="00C01853"/>
    <w:rsid w:val="00C01F72"/>
    <w:rsid w:val="00C024D8"/>
    <w:rsid w:val="00C0275F"/>
    <w:rsid w:val="00C03543"/>
    <w:rsid w:val="00C03969"/>
    <w:rsid w:val="00C03FE5"/>
    <w:rsid w:val="00C040AD"/>
    <w:rsid w:val="00C04178"/>
    <w:rsid w:val="00C04FA8"/>
    <w:rsid w:val="00C05F77"/>
    <w:rsid w:val="00C06475"/>
    <w:rsid w:val="00C06A51"/>
    <w:rsid w:val="00C075B5"/>
    <w:rsid w:val="00C079B7"/>
    <w:rsid w:val="00C07D4E"/>
    <w:rsid w:val="00C10351"/>
    <w:rsid w:val="00C1052C"/>
    <w:rsid w:val="00C106CF"/>
    <w:rsid w:val="00C10BC8"/>
    <w:rsid w:val="00C11182"/>
    <w:rsid w:val="00C115A8"/>
    <w:rsid w:val="00C11E1D"/>
    <w:rsid w:val="00C11E60"/>
    <w:rsid w:val="00C11FC0"/>
    <w:rsid w:val="00C12516"/>
    <w:rsid w:val="00C127F7"/>
    <w:rsid w:val="00C130E3"/>
    <w:rsid w:val="00C13C9F"/>
    <w:rsid w:val="00C14097"/>
    <w:rsid w:val="00C1473F"/>
    <w:rsid w:val="00C14BDC"/>
    <w:rsid w:val="00C14C14"/>
    <w:rsid w:val="00C15D7F"/>
    <w:rsid w:val="00C15DB2"/>
    <w:rsid w:val="00C166A3"/>
    <w:rsid w:val="00C16B48"/>
    <w:rsid w:val="00C16E7C"/>
    <w:rsid w:val="00C170C9"/>
    <w:rsid w:val="00C1713A"/>
    <w:rsid w:val="00C17199"/>
    <w:rsid w:val="00C17795"/>
    <w:rsid w:val="00C17DD3"/>
    <w:rsid w:val="00C17E14"/>
    <w:rsid w:val="00C20949"/>
    <w:rsid w:val="00C212E7"/>
    <w:rsid w:val="00C214F5"/>
    <w:rsid w:val="00C2257D"/>
    <w:rsid w:val="00C2269B"/>
    <w:rsid w:val="00C22C34"/>
    <w:rsid w:val="00C238F7"/>
    <w:rsid w:val="00C23E84"/>
    <w:rsid w:val="00C23F01"/>
    <w:rsid w:val="00C23F52"/>
    <w:rsid w:val="00C24758"/>
    <w:rsid w:val="00C2495F"/>
    <w:rsid w:val="00C26031"/>
    <w:rsid w:val="00C26187"/>
    <w:rsid w:val="00C26CE9"/>
    <w:rsid w:val="00C26DDB"/>
    <w:rsid w:val="00C275F0"/>
    <w:rsid w:val="00C27A37"/>
    <w:rsid w:val="00C300CE"/>
    <w:rsid w:val="00C30811"/>
    <w:rsid w:val="00C3169E"/>
    <w:rsid w:val="00C31C3F"/>
    <w:rsid w:val="00C31D14"/>
    <w:rsid w:val="00C31DF0"/>
    <w:rsid w:val="00C31E43"/>
    <w:rsid w:val="00C31F3F"/>
    <w:rsid w:val="00C325BC"/>
    <w:rsid w:val="00C32B26"/>
    <w:rsid w:val="00C32C17"/>
    <w:rsid w:val="00C333D1"/>
    <w:rsid w:val="00C33776"/>
    <w:rsid w:val="00C33847"/>
    <w:rsid w:val="00C33975"/>
    <w:rsid w:val="00C33CC8"/>
    <w:rsid w:val="00C345F3"/>
    <w:rsid w:val="00C347E5"/>
    <w:rsid w:val="00C3537D"/>
    <w:rsid w:val="00C35646"/>
    <w:rsid w:val="00C35DEA"/>
    <w:rsid w:val="00C35F99"/>
    <w:rsid w:val="00C374D7"/>
    <w:rsid w:val="00C40A42"/>
    <w:rsid w:val="00C41001"/>
    <w:rsid w:val="00C41B4F"/>
    <w:rsid w:val="00C4255D"/>
    <w:rsid w:val="00C42BAF"/>
    <w:rsid w:val="00C43B65"/>
    <w:rsid w:val="00C44280"/>
    <w:rsid w:val="00C44417"/>
    <w:rsid w:val="00C4495A"/>
    <w:rsid w:val="00C44AB4"/>
    <w:rsid w:val="00C44CF9"/>
    <w:rsid w:val="00C44D79"/>
    <w:rsid w:val="00C45024"/>
    <w:rsid w:val="00C454B0"/>
    <w:rsid w:val="00C45D7C"/>
    <w:rsid w:val="00C45F4E"/>
    <w:rsid w:val="00C4607F"/>
    <w:rsid w:val="00C46281"/>
    <w:rsid w:val="00C46AB2"/>
    <w:rsid w:val="00C46D29"/>
    <w:rsid w:val="00C470A6"/>
    <w:rsid w:val="00C479CD"/>
    <w:rsid w:val="00C47B88"/>
    <w:rsid w:val="00C50570"/>
    <w:rsid w:val="00C50CD4"/>
    <w:rsid w:val="00C5173C"/>
    <w:rsid w:val="00C5192E"/>
    <w:rsid w:val="00C52BF3"/>
    <w:rsid w:val="00C53CD4"/>
    <w:rsid w:val="00C54531"/>
    <w:rsid w:val="00C54581"/>
    <w:rsid w:val="00C551DB"/>
    <w:rsid w:val="00C555AB"/>
    <w:rsid w:val="00C558A8"/>
    <w:rsid w:val="00C55BCF"/>
    <w:rsid w:val="00C55E2A"/>
    <w:rsid w:val="00C569FB"/>
    <w:rsid w:val="00C57366"/>
    <w:rsid w:val="00C574E3"/>
    <w:rsid w:val="00C576B3"/>
    <w:rsid w:val="00C57F4C"/>
    <w:rsid w:val="00C6038B"/>
    <w:rsid w:val="00C60EDB"/>
    <w:rsid w:val="00C615CB"/>
    <w:rsid w:val="00C61602"/>
    <w:rsid w:val="00C61810"/>
    <w:rsid w:val="00C649E3"/>
    <w:rsid w:val="00C64F1A"/>
    <w:rsid w:val="00C652C4"/>
    <w:rsid w:val="00C65346"/>
    <w:rsid w:val="00C6596D"/>
    <w:rsid w:val="00C65E98"/>
    <w:rsid w:val="00C65F08"/>
    <w:rsid w:val="00C661EC"/>
    <w:rsid w:val="00C663B4"/>
    <w:rsid w:val="00C67722"/>
    <w:rsid w:val="00C706AB"/>
    <w:rsid w:val="00C70746"/>
    <w:rsid w:val="00C70829"/>
    <w:rsid w:val="00C7122E"/>
    <w:rsid w:val="00C71383"/>
    <w:rsid w:val="00C71707"/>
    <w:rsid w:val="00C71D46"/>
    <w:rsid w:val="00C720D3"/>
    <w:rsid w:val="00C72760"/>
    <w:rsid w:val="00C7349D"/>
    <w:rsid w:val="00C73600"/>
    <w:rsid w:val="00C73AAA"/>
    <w:rsid w:val="00C73F15"/>
    <w:rsid w:val="00C75300"/>
    <w:rsid w:val="00C756B6"/>
    <w:rsid w:val="00C75A90"/>
    <w:rsid w:val="00C76E9E"/>
    <w:rsid w:val="00C77002"/>
    <w:rsid w:val="00C7742A"/>
    <w:rsid w:val="00C777FD"/>
    <w:rsid w:val="00C77D11"/>
    <w:rsid w:val="00C77DF0"/>
    <w:rsid w:val="00C8006F"/>
    <w:rsid w:val="00C80607"/>
    <w:rsid w:val="00C81021"/>
    <w:rsid w:val="00C81702"/>
    <w:rsid w:val="00C8242F"/>
    <w:rsid w:val="00C82D8C"/>
    <w:rsid w:val="00C831B8"/>
    <w:rsid w:val="00C83A83"/>
    <w:rsid w:val="00C83CCD"/>
    <w:rsid w:val="00C841AA"/>
    <w:rsid w:val="00C843FD"/>
    <w:rsid w:val="00C8473A"/>
    <w:rsid w:val="00C84C75"/>
    <w:rsid w:val="00C84E92"/>
    <w:rsid w:val="00C85144"/>
    <w:rsid w:val="00C851DA"/>
    <w:rsid w:val="00C8542A"/>
    <w:rsid w:val="00C855D0"/>
    <w:rsid w:val="00C8574D"/>
    <w:rsid w:val="00C868F9"/>
    <w:rsid w:val="00C869B7"/>
    <w:rsid w:val="00C869F5"/>
    <w:rsid w:val="00C86ED2"/>
    <w:rsid w:val="00C9037D"/>
    <w:rsid w:val="00C9072E"/>
    <w:rsid w:val="00C90EE3"/>
    <w:rsid w:val="00C91282"/>
    <w:rsid w:val="00C917EB"/>
    <w:rsid w:val="00C91E8D"/>
    <w:rsid w:val="00C92018"/>
    <w:rsid w:val="00C92C4E"/>
    <w:rsid w:val="00C93AFE"/>
    <w:rsid w:val="00C94AB0"/>
    <w:rsid w:val="00C956C1"/>
    <w:rsid w:val="00C95778"/>
    <w:rsid w:val="00C9683F"/>
    <w:rsid w:val="00C970F5"/>
    <w:rsid w:val="00C97284"/>
    <w:rsid w:val="00C9759B"/>
    <w:rsid w:val="00C97AC0"/>
    <w:rsid w:val="00C97C52"/>
    <w:rsid w:val="00CA00E0"/>
    <w:rsid w:val="00CA036C"/>
    <w:rsid w:val="00CA041D"/>
    <w:rsid w:val="00CA08C6"/>
    <w:rsid w:val="00CA128D"/>
    <w:rsid w:val="00CA1868"/>
    <w:rsid w:val="00CA1FA0"/>
    <w:rsid w:val="00CA228C"/>
    <w:rsid w:val="00CA2A32"/>
    <w:rsid w:val="00CA2B42"/>
    <w:rsid w:val="00CA2D10"/>
    <w:rsid w:val="00CA3F4E"/>
    <w:rsid w:val="00CA41C4"/>
    <w:rsid w:val="00CA4479"/>
    <w:rsid w:val="00CA55E4"/>
    <w:rsid w:val="00CA6533"/>
    <w:rsid w:val="00CA6C63"/>
    <w:rsid w:val="00CA7017"/>
    <w:rsid w:val="00CB072B"/>
    <w:rsid w:val="00CB0818"/>
    <w:rsid w:val="00CB0D3C"/>
    <w:rsid w:val="00CB12AA"/>
    <w:rsid w:val="00CB14E1"/>
    <w:rsid w:val="00CB1F32"/>
    <w:rsid w:val="00CB2ADD"/>
    <w:rsid w:val="00CB2E2A"/>
    <w:rsid w:val="00CB36FE"/>
    <w:rsid w:val="00CB3E7B"/>
    <w:rsid w:val="00CB47E8"/>
    <w:rsid w:val="00CB4F08"/>
    <w:rsid w:val="00CB54C0"/>
    <w:rsid w:val="00CB58B3"/>
    <w:rsid w:val="00CB59C4"/>
    <w:rsid w:val="00CB5D3F"/>
    <w:rsid w:val="00CB5F11"/>
    <w:rsid w:val="00CB6001"/>
    <w:rsid w:val="00CB66E8"/>
    <w:rsid w:val="00CB69E7"/>
    <w:rsid w:val="00CB6BE1"/>
    <w:rsid w:val="00CB6FAF"/>
    <w:rsid w:val="00CC08CD"/>
    <w:rsid w:val="00CC08FC"/>
    <w:rsid w:val="00CC0939"/>
    <w:rsid w:val="00CC0991"/>
    <w:rsid w:val="00CC0A43"/>
    <w:rsid w:val="00CC101D"/>
    <w:rsid w:val="00CC13C8"/>
    <w:rsid w:val="00CC16DE"/>
    <w:rsid w:val="00CC1761"/>
    <w:rsid w:val="00CC211B"/>
    <w:rsid w:val="00CC26C8"/>
    <w:rsid w:val="00CC32CF"/>
    <w:rsid w:val="00CC41FF"/>
    <w:rsid w:val="00CC4670"/>
    <w:rsid w:val="00CC469B"/>
    <w:rsid w:val="00CC4798"/>
    <w:rsid w:val="00CC543A"/>
    <w:rsid w:val="00CC5BBA"/>
    <w:rsid w:val="00CC5C5B"/>
    <w:rsid w:val="00CC5CF2"/>
    <w:rsid w:val="00CC739A"/>
    <w:rsid w:val="00CC7517"/>
    <w:rsid w:val="00CC773E"/>
    <w:rsid w:val="00CD0245"/>
    <w:rsid w:val="00CD0263"/>
    <w:rsid w:val="00CD0A15"/>
    <w:rsid w:val="00CD0DBC"/>
    <w:rsid w:val="00CD0E28"/>
    <w:rsid w:val="00CD1F1A"/>
    <w:rsid w:val="00CD1F32"/>
    <w:rsid w:val="00CD225E"/>
    <w:rsid w:val="00CD24DB"/>
    <w:rsid w:val="00CD271E"/>
    <w:rsid w:val="00CD291C"/>
    <w:rsid w:val="00CD29EA"/>
    <w:rsid w:val="00CD3AFE"/>
    <w:rsid w:val="00CD4AAF"/>
    <w:rsid w:val="00CD5120"/>
    <w:rsid w:val="00CD5685"/>
    <w:rsid w:val="00CD5793"/>
    <w:rsid w:val="00CD5E56"/>
    <w:rsid w:val="00CD62E1"/>
    <w:rsid w:val="00CD6765"/>
    <w:rsid w:val="00CD6795"/>
    <w:rsid w:val="00CD6D98"/>
    <w:rsid w:val="00CD6EA8"/>
    <w:rsid w:val="00CD78BB"/>
    <w:rsid w:val="00CD7A08"/>
    <w:rsid w:val="00CE0182"/>
    <w:rsid w:val="00CE108F"/>
    <w:rsid w:val="00CE1387"/>
    <w:rsid w:val="00CE25BC"/>
    <w:rsid w:val="00CE28EA"/>
    <w:rsid w:val="00CE2D3C"/>
    <w:rsid w:val="00CE38B6"/>
    <w:rsid w:val="00CE3931"/>
    <w:rsid w:val="00CE3B24"/>
    <w:rsid w:val="00CE40A2"/>
    <w:rsid w:val="00CE4CA6"/>
    <w:rsid w:val="00CE5432"/>
    <w:rsid w:val="00CE5DD2"/>
    <w:rsid w:val="00CE76C2"/>
    <w:rsid w:val="00CE7997"/>
    <w:rsid w:val="00CE7E62"/>
    <w:rsid w:val="00CE7FE1"/>
    <w:rsid w:val="00CF14B6"/>
    <w:rsid w:val="00CF1552"/>
    <w:rsid w:val="00CF1D0D"/>
    <w:rsid w:val="00CF21B3"/>
    <w:rsid w:val="00CF2970"/>
    <w:rsid w:val="00CF2AD6"/>
    <w:rsid w:val="00CF31A1"/>
    <w:rsid w:val="00CF329F"/>
    <w:rsid w:val="00CF46F7"/>
    <w:rsid w:val="00CF49D5"/>
    <w:rsid w:val="00CF4B2D"/>
    <w:rsid w:val="00CF4B9F"/>
    <w:rsid w:val="00CF531A"/>
    <w:rsid w:val="00CF540B"/>
    <w:rsid w:val="00CF680C"/>
    <w:rsid w:val="00D00108"/>
    <w:rsid w:val="00D002D5"/>
    <w:rsid w:val="00D002DD"/>
    <w:rsid w:val="00D002F5"/>
    <w:rsid w:val="00D00A30"/>
    <w:rsid w:val="00D00B07"/>
    <w:rsid w:val="00D010EC"/>
    <w:rsid w:val="00D014FA"/>
    <w:rsid w:val="00D015B2"/>
    <w:rsid w:val="00D017A6"/>
    <w:rsid w:val="00D01CD5"/>
    <w:rsid w:val="00D01FD3"/>
    <w:rsid w:val="00D026B4"/>
    <w:rsid w:val="00D02719"/>
    <w:rsid w:val="00D02D2A"/>
    <w:rsid w:val="00D03C7E"/>
    <w:rsid w:val="00D03D64"/>
    <w:rsid w:val="00D043CC"/>
    <w:rsid w:val="00D0479F"/>
    <w:rsid w:val="00D051D4"/>
    <w:rsid w:val="00D05D79"/>
    <w:rsid w:val="00D063AA"/>
    <w:rsid w:val="00D065BA"/>
    <w:rsid w:val="00D07883"/>
    <w:rsid w:val="00D07AE6"/>
    <w:rsid w:val="00D07E15"/>
    <w:rsid w:val="00D07EEE"/>
    <w:rsid w:val="00D100BB"/>
    <w:rsid w:val="00D103A6"/>
    <w:rsid w:val="00D103DB"/>
    <w:rsid w:val="00D1094A"/>
    <w:rsid w:val="00D10C3E"/>
    <w:rsid w:val="00D11157"/>
    <w:rsid w:val="00D11DAF"/>
    <w:rsid w:val="00D11E25"/>
    <w:rsid w:val="00D12301"/>
    <w:rsid w:val="00D1284D"/>
    <w:rsid w:val="00D1295D"/>
    <w:rsid w:val="00D12AF0"/>
    <w:rsid w:val="00D12C38"/>
    <w:rsid w:val="00D13007"/>
    <w:rsid w:val="00D13511"/>
    <w:rsid w:val="00D136B8"/>
    <w:rsid w:val="00D13A65"/>
    <w:rsid w:val="00D13CFD"/>
    <w:rsid w:val="00D13FE4"/>
    <w:rsid w:val="00D141BD"/>
    <w:rsid w:val="00D146B3"/>
    <w:rsid w:val="00D14840"/>
    <w:rsid w:val="00D15E32"/>
    <w:rsid w:val="00D170D2"/>
    <w:rsid w:val="00D179A2"/>
    <w:rsid w:val="00D17AC1"/>
    <w:rsid w:val="00D17C39"/>
    <w:rsid w:val="00D20604"/>
    <w:rsid w:val="00D2063C"/>
    <w:rsid w:val="00D213BA"/>
    <w:rsid w:val="00D22080"/>
    <w:rsid w:val="00D220F9"/>
    <w:rsid w:val="00D2315F"/>
    <w:rsid w:val="00D231D1"/>
    <w:rsid w:val="00D23286"/>
    <w:rsid w:val="00D232F6"/>
    <w:rsid w:val="00D23988"/>
    <w:rsid w:val="00D23994"/>
    <w:rsid w:val="00D2406A"/>
    <w:rsid w:val="00D2523F"/>
    <w:rsid w:val="00D25FEB"/>
    <w:rsid w:val="00D26779"/>
    <w:rsid w:val="00D26A98"/>
    <w:rsid w:val="00D26CAF"/>
    <w:rsid w:val="00D273EB"/>
    <w:rsid w:val="00D27659"/>
    <w:rsid w:val="00D279D6"/>
    <w:rsid w:val="00D27C48"/>
    <w:rsid w:val="00D27EEE"/>
    <w:rsid w:val="00D27F27"/>
    <w:rsid w:val="00D3041E"/>
    <w:rsid w:val="00D309F8"/>
    <w:rsid w:val="00D30B21"/>
    <w:rsid w:val="00D30D72"/>
    <w:rsid w:val="00D30F96"/>
    <w:rsid w:val="00D32034"/>
    <w:rsid w:val="00D320D8"/>
    <w:rsid w:val="00D324F5"/>
    <w:rsid w:val="00D3253F"/>
    <w:rsid w:val="00D32C35"/>
    <w:rsid w:val="00D33461"/>
    <w:rsid w:val="00D334E5"/>
    <w:rsid w:val="00D34F6D"/>
    <w:rsid w:val="00D34FBD"/>
    <w:rsid w:val="00D35A89"/>
    <w:rsid w:val="00D35D92"/>
    <w:rsid w:val="00D365CF"/>
    <w:rsid w:val="00D374AC"/>
    <w:rsid w:val="00D3792B"/>
    <w:rsid w:val="00D37998"/>
    <w:rsid w:val="00D401CB"/>
    <w:rsid w:val="00D40B6A"/>
    <w:rsid w:val="00D411C0"/>
    <w:rsid w:val="00D418B4"/>
    <w:rsid w:val="00D41D80"/>
    <w:rsid w:val="00D42405"/>
    <w:rsid w:val="00D42805"/>
    <w:rsid w:val="00D42CBC"/>
    <w:rsid w:val="00D4319A"/>
    <w:rsid w:val="00D4362B"/>
    <w:rsid w:val="00D43C10"/>
    <w:rsid w:val="00D43C6A"/>
    <w:rsid w:val="00D44810"/>
    <w:rsid w:val="00D450E4"/>
    <w:rsid w:val="00D46116"/>
    <w:rsid w:val="00D46B07"/>
    <w:rsid w:val="00D46BE4"/>
    <w:rsid w:val="00D46E6C"/>
    <w:rsid w:val="00D472DF"/>
    <w:rsid w:val="00D47729"/>
    <w:rsid w:val="00D501C6"/>
    <w:rsid w:val="00D50BCF"/>
    <w:rsid w:val="00D50E30"/>
    <w:rsid w:val="00D50F04"/>
    <w:rsid w:val="00D51363"/>
    <w:rsid w:val="00D519D6"/>
    <w:rsid w:val="00D51E68"/>
    <w:rsid w:val="00D51FE4"/>
    <w:rsid w:val="00D520D2"/>
    <w:rsid w:val="00D52216"/>
    <w:rsid w:val="00D52A4F"/>
    <w:rsid w:val="00D532C8"/>
    <w:rsid w:val="00D542DD"/>
    <w:rsid w:val="00D54748"/>
    <w:rsid w:val="00D54ABC"/>
    <w:rsid w:val="00D558D7"/>
    <w:rsid w:val="00D56B02"/>
    <w:rsid w:val="00D56F0B"/>
    <w:rsid w:val="00D574B7"/>
    <w:rsid w:val="00D57BB0"/>
    <w:rsid w:val="00D57BC7"/>
    <w:rsid w:val="00D6009C"/>
    <w:rsid w:val="00D602FE"/>
    <w:rsid w:val="00D60B9A"/>
    <w:rsid w:val="00D60C75"/>
    <w:rsid w:val="00D60F22"/>
    <w:rsid w:val="00D61127"/>
    <w:rsid w:val="00D6164E"/>
    <w:rsid w:val="00D617E3"/>
    <w:rsid w:val="00D6189E"/>
    <w:rsid w:val="00D61C10"/>
    <w:rsid w:val="00D61CA9"/>
    <w:rsid w:val="00D61DFB"/>
    <w:rsid w:val="00D62154"/>
    <w:rsid w:val="00D622DB"/>
    <w:rsid w:val="00D62410"/>
    <w:rsid w:val="00D62457"/>
    <w:rsid w:val="00D62A36"/>
    <w:rsid w:val="00D62D48"/>
    <w:rsid w:val="00D62D5D"/>
    <w:rsid w:val="00D635EA"/>
    <w:rsid w:val="00D63CBE"/>
    <w:rsid w:val="00D63D86"/>
    <w:rsid w:val="00D64009"/>
    <w:rsid w:val="00D6467D"/>
    <w:rsid w:val="00D64900"/>
    <w:rsid w:val="00D649AD"/>
    <w:rsid w:val="00D64E9E"/>
    <w:rsid w:val="00D65534"/>
    <w:rsid w:val="00D65625"/>
    <w:rsid w:val="00D657E8"/>
    <w:rsid w:val="00D658B1"/>
    <w:rsid w:val="00D65D1D"/>
    <w:rsid w:val="00D663B7"/>
    <w:rsid w:val="00D665BC"/>
    <w:rsid w:val="00D66711"/>
    <w:rsid w:val="00D66823"/>
    <w:rsid w:val="00D675EE"/>
    <w:rsid w:val="00D6799B"/>
    <w:rsid w:val="00D700E7"/>
    <w:rsid w:val="00D70104"/>
    <w:rsid w:val="00D706A4"/>
    <w:rsid w:val="00D70785"/>
    <w:rsid w:val="00D70D6E"/>
    <w:rsid w:val="00D70EC6"/>
    <w:rsid w:val="00D71257"/>
    <w:rsid w:val="00D71E8E"/>
    <w:rsid w:val="00D71E9A"/>
    <w:rsid w:val="00D721B8"/>
    <w:rsid w:val="00D72509"/>
    <w:rsid w:val="00D72AAE"/>
    <w:rsid w:val="00D72DBF"/>
    <w:rsid w:val="00D732A7"/>
    <w:rsid w:val="00D73530"/>
    <w:rsid w:val="00D7356E"/>
    <w:rsid w:val="00D736A3"/>
    <w:rsid w:val="00D73DA5"/>
    <w:rsid w:val="00D74357"/>
    <w:rsid w:val="00D7466B"/>
    <w:rsid w:val="00D74752"/>
    <w:rsid w:val="00D74822"/>
    <w:rsid w:val="00D748CC"/>
    <w:rsid w:val="00D7511C"/>
    <w:rsid w:val="00D75A1C"/>
    <w:rsid w:val="00D761FA"/>
    <w:rsid w:val="00D7634E"/>
    <w:rsid w:val="00D77845"/>
    <w:rsid w:val="00D77892"/>
    <w:rsid w:val="00D77CFB"/>
    <w:rsid w:val="00D80060"/>
    <w:rsid w:val="00D8040A"/>
    <w:rsid w:val="00D8054C"/>
    <w:rsid w:val="00D8241A"/>
    <w:rsid w:val="00D82B98"/>
    <w:rsid w:val="00D831C3"/>
    <w:rsid w:val="00D83AB2"/>
    <w:rsid w:val="00D842C0"/>
    <w:rsid w:val="00D844F8"/>
    <w:rsid w:val="00D84964"/>
    <w:rsid w:val="00D84EDF"/>
    <w:rsid w:val="00D851DA"/>
    <w:rsid w:val="00D85553"/>
    <w:rsid w:val="00D85619"/>
    <w:rsid w:val="00D8565F"/>
    <w:rsid w:val="00D85E00"/>
    <w:rsid w:val="00D85EE2"/>
    <w:rsid w:val="00D86990"/>
    <w:rsid w:val="00D90BBC"/>
    <w:rsid w:val="00D90CE9"/>
    <w:rsid w:val="00D9109D"/>
    <w:rsid w:val="00D910A3"/>
    <w:rsid w:val="00D91174"/>
    <w:rsid w:val="00D913DA"/>
    <w:rsid w:val="00D91439"/>
    <w:rsid w:val="00D91E2E"/>
    <w:rsid w:val="00D91E50"/>
    <w:rsid w:val="00D926B0"/>
    <w:rsid w:val="00D92E2F"/>
    <w:rsid w:val="00D92F82"/>
    <w:rsid w:val="00D931FD"/>
    <w:rsid w:val="00D93D3F"/>
    <w:rsid w:val="00D9453A"/>
    <w:rsid w:val="00D94645"/>
    <w:rsid w:val="00D94AC7"/>
    <w:rsid w:val="00D959B4"/>
    <w:rsid w:val="00D95E92"/>
    <w:rsid w:val="00D96073"/>
    <w:rsid w:val="00D96643"/>
    <w:rsid w:val="00D977D4"/>
    <w:rsid w:val="00D97832"/>
    <w:rsid w:val="00D97B36"/>
    <w:rsid w:val="00DA003F"/>
    <w:rsid w:val="00DA0132"/>
    <w:rsid w:val="00DA111C"/>
    <w:rsid w:val="00DA11B5"/>
    <w:rsid w:val="00DA156B"/>
    <w:rsid w:val="00DA16FF"/>
    <w:rsid w:val="00DA21C2"/>
    <w:rsid w:val="00DA2380"/>
    <w:rsid w:val="00DA25C8"/>
    <w:rsid w:val="00DA353B"/>
    <w:rsid w:val="00DA353D"/>
    <w:rsid w:val="00DA3552"/>
    <w:rsid w:val="00DA3C1E"/>
    <w:rsid w:val="00DA3D85"/>
    <w:rsid w:val="00DA4D81"/>
    <w:rsid w:val="00DA5204"/>
    <w:rsid w:val="00DA53F5"/>
    <w:rsid w:val="00DA559A"/>
    <w:rsid w:val="00DA5765"/>
    <w:rsid w:val="00DA5C04"/>
    <w:rsid w:val="00DA5C9D"/>
    <w:rsid w:val="00DA5DBA"/>
    <w:rsid w:val="00DA613B"/>
    <w:rsid w:val="00DA69D2"/>
    <w:rsid w:val="00DA6C89"/>
    <w:rsid w:val="00DA700E"/>
    <w:rsid w:val="00DA7FF5"/>
    <w:rsid w:val="00DB0D22"/>
    <w:rsid w:val="00DB1586"/>
    <w:rsid w:val="00DB15CB"/>
    <w:rsid w:val="00DB18D0"/>
    <w:rsid w:val="00DB267C"/>
    <w:rsid w:val="00DB27C9"/>
    <w:rsid w:val="00DB2A91"/>
    <w:rsid w:val="00DB2D47"/>
    <w:rsid w:val="00DB2D52"/>
    <w:rsid w:val="00DB33E7"/>
    <w:rsid w:val="00DB3898"/>
    <w:rsid w:val="00DB41CF"/>
    <w:rsid w:val="00DB43D0"/>
    <w:rsid w:val="00DB4409"/>
    <w:rsid w:val="00DB47DE"/>
    <w:rsid w:val="00DB4CF1"/>
    <w:rsid w:val="00DB5D03"/>
    <w:rsid w:val="00DB6679"/>
    <w:rsid w:val="00DB66B5"/>
    <w:rsid w:val="00DB7401"/>
    <w:rsid w:val="00DB7898"/>
    <w:rsid w:val="00DB795D"/>
    <w:rsid w:val="00DB7F79"/>
    <w:rsid w:val="00DC002C"/>
    <w:rsid w:val="00DC020B"/>
    <w:rsid w:val="00DC0539"/>
    <w:rsid w:val="00DC1986"/>
    <w:rsid w:val="00DC20E0"/>
    <w:rsid w:val="00DC35CF"/>
    <w:rsid w:val="00DC485F"/>
    <w:rsid w:val="00DC5262"/>
    <w:rsid w:val="00DC566C"/>
    <w:rsid w:val="00DC5B57"/>
    <w:rsid w:val="00DC5C45"/>
    <w:rsid w:val="00DC696B"/>
    <w:rsid w:val="00DC6CF0"/>
    <w:rsid w:val="00DC6F80"/>
    <w:rsid w:val="00DC7373"/>
    <w:rsid w:val="00DC7EFE"/>
    <w:rsid w:val="00DD0DD5"/>
    <w:rsid w:val="00DD132D"/>
    <w:rsid w:val="00DD18A8"/>
    <w:rsid w:val="00DD1916"/>
    <w:rsid w:val="00DD2FFD"/>
    <w:rsid w:val="00DD399E"/>
    <w:rsid w:val="00DD3B20"/>
    <w:rsid w:val="00DD3D9F"/>
    <w:rsid w:val="00DD4A81"/>
    <w:rsid w:val="00DD4CE0"/>
    <w:rsid w:val="00DD66D6"/>
    <w:rsid w:val="00DD705F"/>
    <w:rsid w:val="00DD725F"/>
    <w:rsid w:val="00DD7B7E"/>
    <w:rsid w:val="00DE01D4"/>
    <w:rsid w:val="00DE058E"/>
    <w:rsid w:val="00DE07D5"/>
    <w:rsid w:val="00DE0E2F"/>
    <w:rsid w:val="00DE0E99"/>
    <w:rsid w:val="00DE1AE5"/>
    <w:rsid w:val="00DE1EB7"/>
    <w:rsid w:val="00DE24A5"/>
    <w:rsid w:val="00DE295D"/>
    <w:rsid w:val="00DE3F3D"/>
    <w:rsid w:val="00DE4AEA"/>
    <w:rsid w:val="00DE505A"/>
    <w:rsid w:val="00DE547C"/>
    <w:rsid w:val="00DE64CF"/>
    <w:rsid w:val="00DE6500"/>
    <w:rsid w:val="00DE744C"/>
    <w:rsid w:val="00DE7700"/>
    <w:rsid w:val="00DE7EAB"/>
    <w:rsid w:val="00DF01B2"/>
    <w:rsid w:val="00DF0C1C"/>
    <w:rsid w:val="00DF12EF"/>
    <w:rsid w:val="00DF1EEA"/>
    <w:rsid w:val="00DF2090"/>
    <w:rsid w:val="00DF20C5"/>
    <w:rsid w:val="00DF2403"/>
    <w:rsid w:val="00DF2799"/>
    <w:rsid w:val="00DF285C"/>
    <w:rsid w:val="00DF2B78"/>
    <w:rsid w:val="00DF2CB2"/>
    <w:rsid w:val="00DF39F0"/>
    <w:rsid w:val="00DF3B4B"/>
    <w:rsid w:val="00DF3FDF"/>
    <w:rsid w:val="00DF4B89"/>
    <w:rsid w:val="00DF4CB2"/>
    <w:rsid w:val="00DF4E40"/>
    <w:rsid w:val="00DF5084"/>
    <w:rsid w:val="00DF56AF"/>
    <w:rsid w:val="00DF56CF"/>
    <w:rsid w:val="00DF57BF"/>
    <w:rsid w:val="00DF606E"/>
    <w:rsid w:val="00DF68E9"/>
    <w:rsid w:val="00DF75D9"/>
    <w:rsid w:val="00DF7BE2"/>
    <w:rsid w:val="00DF7DF9"/>
    <w:rsid w:val="00E00A7A"/>
    <w:rsid w:val="00E00E22"/>
    <w:rsid w:val="00E00F9A"/>
    <w:rsid w:val="00E03141"/>
    <w:rsid w:val="00E036B9"/>
    <w:rsid w:val="00E03C4F"/>
    <w:rsid w:val="00E04458"/>
    <w:rsid w:val="00E05C67"/>
    <w:rsid w:val="00E05C8B"/>
    <w:rsid w:val="00E0604C"/>
    <w:rsid w:val="00E0611B"/>
    <w:rsid w:val="00E064DD"/>
    <w:rsid w:val="00E0663F"/>
    <w:rsid w:val="00E06F08"/>
    <w:rsid w:val="00E07277"/>
    <w:rsid w:val="00E07629"/>
    <w:rsid w:val="00E07674"/>
    <w:rsid w:val="00E10B42"/>
    <w:rsid w:val="00E10EA0"/>
    <w:rsid w:val="00E11B39"/>
    <w:rsid w:val="00E11B3E"/>
    <w:rsid w:val="00E12176"/>
    <w:rsid w:val="00E123DC"/>
    <w:rsid w:val="00E131C5"/>
    <w:rsid w:val="00E1366D"/>
    <w:rsid w:val="00E13834"/>
    <w:rsid w:val="00E14005"/>
    <w:rsid w:val="00E1424B"/>
    <w:rsid w:val="00E151F2"/>
    <w:rsid w:val="00E1524A"/>
    <w:rsid w:val="00E158D6"/>
    <w:rsid w:val="00E158F5"/>
    <w:rsid w:val="00E15959"/>
    <w:rsid w:val="00E15B48"/>
    <w:rsid w:val="00E15DBA"/>
    <w:rsid w:val="00E161E9"/>
    <w:rsid w:val="00E169BC"/>
    <w:rsid w:val="00E173F8"/>
    <w:rsid w:val="00E1766D"/>
    <w:rsid w:val="00E200E6"/>
    <w:rsid w:val="00E2065F"/>
    <w:rsid w:val="00E207AF"/>
    <w:rsid w:val="00E20AB7"/>
    <w:rsid w:val="00E219C5"/>
    <w:rsid w:val="00E222E3"/>
    <w:rsid w:val="00E222E4"/>
    <w:rsid w:val="00E2293D"/>
    <w:rsid w:val="00E22B8F"/>
    <w:rsid w:val="00E22BDF"/>
    <w:rsid w:val="00E22CCD"/>
    <w:rsid w:val="00E2369E"/>
    <w:rsid w:val="00E2394D"/>
    <w:rsid w:val="00E23A0A"/>
    <w:rsid w:val="00E23BF7"/>
    <w:rsid w:val="00E23D5A"/>
    <w:rsid w:val="00E2410A"/>
    <w:rsid w:val="00E25D37"/>
    <w:rsid w:val="00E260D9"/>
    <w:rsid w:val="00E26488"/>
    <w:rsid w:val="00E26812"/>
    <w:rsid w:val="00E26856"/>
    <w:rsid w:val="00E26CC5"/>
    <w:rsid w:val="00E26FA8"/>
    <w:rsid w:val="00E27264"/>
    <w:rsid w:val="00E27E51"/>
    <w:rsid w:val="00E307F3"/>
    <w:rsid w:val="00E312FA"/>
    <w:rsid w:val="00E31883"/>
    <w:rsid w:val="00E31BFB"/>
    <w:rsid w:val="00E32A8B"/>
    <w:rsid w:val="00E32D9E"/>
    <w:rsid w:val="00E33C02"/>
    <w:rsid w:val="00E33F09"/>
    <w:rsid w:val="00E3413F"/>
    <w:rsid w:val="00E34B66"/>
    <w:rsid w:val="00E3548A"/>
    <w:rsid w:val="00E35778"/>
    <w:rsid w:val="00E3592A"/>
    <w:rsid w:val="00E3680F"/>
    <w:rsid w:val="00E37064"/>
    <w:rsid w:val="00E3724A"/>
    <w:rsid w:val="00E37B5D"/>
    <w:rsid w:val="00E37D52"/>
    <w:rsid w:val="00E37EA2"/>
    <w:rsid w:val="00E37F89"/>
    <w:rsid w:val="00E418BE"/>
    <w:rsid w:val="00E41CA7"/>
    <w:rsid w:val="00E42EB5"/>
    <w:rsid w:val="00E42FC6"/>
    <w:rsid w:val="00E4333A"/>
    <w:rsid w:val="00E43DE3"/>
    <w:rsid w:val="00E4438A"/>
    <w:rsid w:val="00E44ADC"/>
    <w:rsid w:val="00E450FF"/>
    <w:rsid w:val="00E45718"/>
    <w:rsid w:val="00E4579E"/>
    <w:rsid w:val="00E458CD"/>
    <w:rsid w:val="00E45B0C"/>
    <w:rsid w:val="00E4652A"/>
    <w:rsid w:val="00E46A8A"/>
    <w:rsid w:val="00E47118"/>
    <w:rsid w:val="00E47330"/>
    <w:rsid w:val="00E476E3"/>
    <w:rsid w:val="00E5077B"/>
    <w:rsid w:val="00E50805"/>
    <w:rsid w:val="00E5086B"/>
    <w:rsid w:val="00E510E5"/>
    <w:rsid w:val="00E5146F"/>
    <w:rsid w:val="00E51590"/>
    <w:rsid w:val="00E519CA"/>
    <w:rsid w:val="00E51B8C"/>
    <w:rsid w:val="00E520D4"/>
    <w:rsid w:val="00E528DE"/>
    <w:rsid w:val="00E52D43"/>
    <w:rsid w:val="00E52F6D"/>
    <w:rsid w:val="00E530FF"/>
    <w:rsid w:val="00E5333C"/>
    <w:rsid w:val="00E53480"/>
    <w:rsid w:val="00E53C6D"/>
    <w:rsid w:val="00E54870"/>
    <w:rsid w:val="00E54CC1"/>
    <w:rsid w:val="00E54E7B"/>
    <w:rsid w:val="00E552F5"/>
    <w:rsid w:val="00E55494"/>
    <w:rsid w:val="00E55B6B"/>
    <w:rsid w:val="00E55F55"/>
    <w:rsid w:val="00E56382"/>
    <w:rsid w:val="00E57335"/>
    <w:rsid w:val="00E57674"/>
    <w:rsid w:val="00E57BC3"/>
    <w:rsid w:val="00E60C8E"/>
    <w:rsid w:val="00E60F39"/>
    <w:rsid w:val="00E60FD5"/>
    <w:rsid w:val="00E62CFF"/>
    <w:rsid w:val="00E62D42"/>
    <w:rsid w:val="00E62DCF"/>
    <w:rsid w:val="00E632B4"/>
    <w:rsid w:val="00E639AE"/>
    <w:rsid w:val="00E63D90"/>
    <w:rsid w:val="00E63DE9"/>
    <w:rsid w:val="00E6454E"/>
    <w:rsid w:val="00E64931"/>
    <w:rsid w:val="00E64AA4"/>
    <w:rsid w:val="00E64AC2"/>
    <w:rsid w:val="00E64ECE"/>
    <w:rsid w:val="00E65717"/>
    <w:rsid w:val="00E65FE8"/>
    <w:rsid w:val="00E662F9"/>
    <w:rsid w:val="00E66456"/>
    <w:rsid w:val="00E6656B"/>
    <w:rsid w:val="00E66635"/>
    <w:rsid w:val="00E6689C"/>
    <w:rsid w:val="00E67105"/>
    <w:rsid w:val="00E672DD"/>
    <w:rsid w:val="00E673BB"/>
    <w:rsid w:val="00E67AB6"/>
    <w:rsid w:val="00E67FD1"/>
    <w:rsid w:val="00E7112B"/>
    <w:rsid w:val="00E7294F"/>
    <w:rsid w:val="00E73AA8"/>
    <w:rsid w:val="00E73B03"/>
    <w:rsid w:val="00E74EB9"/>
    <w:rsid w:val="00E75121"/>
    <w:rsid w:val="00E75468"/>
    <w:rsid w:val="00E757B0"/>
    <w:rsid w:val="00E757DA"/>
    <w:rsid w:val="00E762DC"/>
    <w:rsid w:val="00E766EE"/>
    <w:rsid w:val="00E7690D"/>
    <w:rsid w:val="00E76D6E"/>
    <w:rsid w:val="00E76E5A"/>
    <w:rsid w:val="00E77F40"/>
    <w:rsid w:val="00E80889"/>
    <w:rsid w:val="00E809AF"/>
    <w:rsid w:val="00E80EE4"/>
    <w:rsid w:val="00E81277"/>
    <w:rsid w:val="00E8187F"/>
    <w:rsid w:val="00E81ADD"/>
    <w:rsid w:val="00E81AE8"/>
    <w:rsid w:val="00E82042"/>
    <w:rsid w:val="00E822BE"/>
    <w:rsid w:val="00E822F9"/>
    <w:rsid w:val="00E83409"/>
    <w:rsid w:val="00E83646"/>
    <w:rsid w:val="00E83A8F"/>
    <w:rsid w:val="00E84815"/>
    <w:rsid w:val="00E86597"/>
    <w:rsid w:val="00E86856"/>
    <w:rsid w:val="00E87638"/>
    <w:rsid w:val="00E87711"/>
    <w:rsid w:val="00E90412"/>
    <w:rsid w:val="00E904C1"/>
    <w:rsid w:val="00E907B7"/>
    <w:rsid w:val="00E90A54"/>
    <w:rsid w:val="00E90B5D"/>
    <w:rsid w:val="00E913DE"/>
    <w:rsid w:val="00E914C6"/>
    <w:rsid w:val="00E91954"/>
    <w:rsid w:val="00E93795"/>
    <w:rsid w:val="00E93A5C"/>
    <w:rsid w:val="00E94481"/>
    <w:rsid w:val="00E94D7E"/>
    <w:rsid w:val="00E95336"/>
    <w:rsid w:val="00E958FA"/>
    <w:rsid w:val="00E95FA2"/>
    <w:rsid w:val="00E96666"/>
    <w:rsid w:val="00E97590"/>
    <w:rsid w:val="00E97D1B"/>
    <w:rsid w:val="00E97F2E"/>
    <w:rsid w:val="00EA0049"/>
    <w:rsid w:val="00EA06C7"/>
    <w:rsid w:val="00EA08CB"/>
    <w:rsid w:val="00EA0CBF"/>
    <w:rsid w:val="00EA0EBB"/>
    <w:rsid w:val="00EA1959"/>
    <w:rsid w:val="00EA3D5E"/>
    <w:rsid w:val="00EA414A"/>
    <w:rsid w:val="00EA545E"/>
    <w:rsid w:val="00EA59ED"/>
    <w:rsid w:val="00EA5A59"/>
    <w:rsid w:val="00EA5BD0"/>
    <w:rsid w:val="00EA5E0E"/>
    <w:rsid w:val="00EA612D"/>
    <w:rsid w:val="00EA6374"/>
    <w:rsid w:val="00EA639E"/>
    <w:rsid w:val="00EA6895"/>
    <w:rsid w:val="00EA6997"/>
    <w:rsid w:val="00EA6C8E"/>
    <w:rsid w:val="00EA71A0"/>
    <w:rsid w:val="00EA7538"/>
    <w:rsid w:val="00EA7FBB"/>
    <w:rsid w:val="00EB05BD"/>
    <w:rsid w:val="00EB1688"/>
    <w:rsid w:val="00EB184A"/>
    <w:rsid w:val="00EB18C0"/>
    <w:rsid w:val="00EB3124"/>
    <w:rsid w:val="00EB352B"/>
    <w:rsid w:val="00EB3DB5"/>
    <w:rsid w:val="00EB3EF8"/>
    <w:rsid w:val="00EB3F2A"/>
    <w:rsid w:val="00EB54B4"/>
    <w:rsid w:val="00EB57DF"/>
    <w:rsid w:val="00EB6157"/>
    <w:rsid w:val="00EB61DD"/>
    <w:rsid w:val="00EB69BD"/>
    <w:rsid w:val="00EB6E39"/>
    <w:rsid w:val="00EB704C"/>
    <w:rsid w:val="00EC0D35"/>
    <w:rsid w:val="00EC0F86"/>
    <w:rsid w:val="00EC1697"/>
    <w:rsid w:val="00EC1754"/>
    <w:rsid w:val="00EC21FB"/>
    <w:rsid w:val="00EC25AC"/>
    <w:rsid w:val="00EC2E03"/>
    <w:rsid w:val="00EC3ED1"/>
    <w:rsid w:val="00EC412A"/>
    <w:rsid w:val="00EC4B12"/>
    <w:rsid w:val="00EC5015"/>
    <w:rsid w:val="00EC541A"/>
    <w:rsid w:val="00EC5605"/>
    <w:rsid w:val="00EC67DF"/>
    <w:rsid w:val="00EC6AF8"/>
    <w:rsid w:val="00EC6D47"/>
    <w:rsid w:val="00EC7180"/>
    <w:rsid w:val="00EC746D"/>
    <w:rsid w:val="00EC7822"/>
    <w:rsid w:val="00ED1933"/>
    <w:rsid w:val="00ED1CE1"/>
    <w:rsid w:val="00ED2911"/>
    <w:rsid w:val="00ED313B"/>
    <w:rsid w:val="00ED32B1"/>
    <w:rsid w:val="00ED347B"/>
    <w:rsid w:val="00ED3771"/>
    <w:rsid w:val="00ED37F0"/>
    <w:rsid w:val="00ED3C01"/>
    <w:rsid w:val="00ED3D06"/>
    <w:rsid w:val="00ED3D3F"/>
    <w:rsid w:val="00ED43FC"/>
    <w:rsid w:val="00ED4587"/>
    <w:rsid w:val="00ED4BBB"/>
    <w:rsid w:val="00ED4FC2"/>
    <w:rsid w:val="00ED551A"/>
    <w:rsid w:val="00ED57B1"/>
    <w:rsid w:val="00ED5908"/>
    <w:rsid w:val="00ED6D0F"/>
    <w:rsid w:val="00ED7568"/>
    <w:rsid w:val="00ED75A5"/>
    <w:rsid w:val="00EE1D80"/>
    <w:rsid w:val="00EE1E6A"/>
    <w:rsid w:val="00EE2EEA"/>
    <w:rsid w:val="00EE3A07"/>
    <w:rsid w:val="00EE4730"/>
    <w:rsid w:val="00EE47BF"/>
    <w:rsid w:val="00EE4834"/>
    <w:rsid w:val="00EE5AC2"/>
    <w:rsid w:val="00EE5B81"/>
    <w:rsid w:val="00EE5D07"/>
    <w:rsid w:val="00EE5D5F"/>
    <w:rsid w:val="00EE76EC"/>
    <w:rsid w:val="00EE791D"/>
    <w:rsid w:val="00EE7B21"/>
    <w:rsid w:val="00EF0304"/>
    <w:rsid w:val="00EF03C5"/>
    <w:rsid w:val="00EF03EF"/>
    <w:rsid w:val="00EF0AFF"/>
    <w:rsid w:val="00EF0DDB"/>
    <w:rsid w:val="00EF1170"/>
    <w:rsid w:val="00EF1192"/>
    <w:rsid w:val="00EF11BA"/>
    <w:rsid w:val="00EF200C"/>
    <w:rsid w:val="00EF3080"/>
    <w:rsid w:val="00EF3991"/>
    <w:rsid w:val="00EF3CC9"/>
    <w:rsid w:val="00EF4159"/>
    <w:rsid w:val="00EF454E"/>
    <w:rsid w:val="00EF470A"/>
    <w:rsid w:val="00EF4AE3"/>
    <w:rsid w:val="00EF4B20"/>
    <w:rsid w:val="00EF4B33"/>
    <w:rsid w:val="00EF4FFB"/>
    <w:rsid w:val="00EF594C"/>
    <w:rsid w:val="00EF5987"/>
    <w:rsid w:val="00EF5CA8"/>
    <w:rsid w:val="00EF66F7"/>
    <w:rsid w:val="00EF7353"/>
    <w:rsid w:val="00EF76F6"/>
    <w:rsid w:val="00EF789B"/>
    <w:rsid w:val="00EF78F2"/>
    <w:rsid w:val="00EF7A53"/>
    <w:rsid w:val="00F00169"/>
    <w:rsid w:val="00F007AD"/>
    <w:rsid w:val="00F00A36"/>
    <w:rsid w:val="00F01057"/>
    <w:rsid w:val="00F01ABE"/>
    <w:rsid w:val="00F01BC7"/>
    <w:rsid w:val="00F01F7D"/>
    <w:rsid w:val="00F02584"/>
    <w:rsid w:val="00F03162"/>
    <w:rsid w:val="00F034D9"/>
    <w:rsid w:val="00F037D4"/>
    <w:rsid w:val="00F037FE"/>
    <w:rsid w:val="00F03E7D"/>
    <w:rsid w:val="00F0462C"/>
    <w:rsid w:val="00F046FC"/>
    <w:rsid w:val="00F04F7E"/>
    <w:rsid w:val="00F05338"/>
    <w:rsid w:val="00F05629"/>
    <w:rsid w:val="00F05A32"/>
    <w:rsid w:val="00F061B1"/>
    <w:rsid w:val="00F07E67"/>
    <w:rsid w:val="00F107F6"/>
    <w:rsid w:val="00F1094F"/>
    <w:rsid w:val="00F1105F"/>
    <w:rsid w:val="00F11338"/>
    <w:rsid w:val="00F113A6"/>
    <w:rsid w:val="00F118E9"/>
    <w:rsid w:val="00F11C17"/>
    <w:rsid w:val="00F11C40"/>
    <w:rsid w:val="00F11D8D"/>
    <w:rsid w:val="00F12231"/>
    <w:rsid w:val="00F12514"/>
    <w:rsid w:val="00F12BC7"/>
    <w:rsid w:val="00F12CEA"/>
    <w:rsid w:val="00F14404"/>
    <w:rsid w:val="00F1491D"/>
    <w:rsid w:val="00F1492B"/>
    <w:rsid w:val="00F14B9F"/>
    <w:rsid w:val="00F150D4"/>
    <w:rsid w:val="00F156A4"/>
    <w:rsid w:val="00F15EDB"/>
    <w:rsid w:val="00F1691D"/>
    <w:rsid w:val="00F16A3E"/>
    <w:rsid w:val="00F16BC3"/>
    <w:rsid w:val="00F1752E"/>
    <w:rsid w:val="00F17F52"/>
    <w:rsid w:val="00F2008E"/>
    <w:rsid w:val="00F2072C"/>
    <w:rsid w:val="00F20BDF"/>
    <w:rsid w:val="00F21289"/>
    <w:rsid w:val="00F21A8C"/>
    <w:rsid w:val="00F22193"/>
    <w:rsid w:val="00F22F73"/>
    <w:rsid w:val="00F233F3"/>
    <w:rsid w:val="00F234FD"/>
    <w:rsid w:val="00F23585"/>
    <w:rsid w:val="00F2395B"/>
    <w:rsid w:val="00F23D0F"/>
    <w:rsid w:val="00F23ECF"/>
    <w:rsid w:val="00F244D4"/>
    <w:rsid w:val="00F249E2"/>
    <w:rsid w:val="00F24E8F"/>
    <w:rsid w:val="00F251E3"/>
    <w:rsid w:val="00F2556D"/>
    <w:rsid w:val="00F255F4"/>
    <w:rsid w:val="00F26F59"/>
    <w:rsid w:val="00F27177"/>
    <w:rsid w:val="00F2719C"/>
    <w:rsid w:val="00F276DB"/>
    <w:rsid w:val="00F277B1"/>
    <w:rsid w:val="00F277C4"/>
    <w:rsid w:val="00F27CB3"/>
    <w:rsid w:val="00F27FAA"/>
    <w:rsid w:val="00F301CF"/>
    <w:rsid w:val="00F304A4"/>
    <w:rsid w:val="00F30AF0"/>
    <w:rsid w:val="00F30B72"/>
    <w:rsid w:val="00F31042"/>
    <w:rsid w:val="00F3135D"/>
    <w:rsid w:val="00F31571"/>
    <w:rsid w:val="00F31802"/>
    <w:rsid w:val="00F31E1D"/>
    <w:rsid w:val="00F31F22"/>
    <w:rsid w:val="00F320D5"/>
    <w:rsid w:val="00F3213D"/>
    <w:rsid w:val="00F32928"/>
    <w:rsid w:val="00F329FD"/>
    <w:rsid w:val="00F32BF0"/>
    <w:rsid w:val="00F32CCE"/>
    <w:rsid w:val="00F3348F"/>
    <w:rsid w:val="00F3376A"/>
    <w:rsid w:val="00F34128"/>
    <w:rsid w:val="00F3460F"/>
    <w:rsid w:val="00F352E0"/>
    <w:rsid w:val="00F35385"/>
    <w:rsid w:val="00F35A5B"/>
    <w:rsid w:val="00F36550"/>
    <w:rsid w:val="00F3660D"/>
    <w:rsid w:val="00F36B63"/>
    <w:rsid w:val="00F371F3"/>
    <w:rsid w:val="00F3738E"/>
    <w:rsid w:val="00F405A3"/>
    <w:rsid w:val="00F408F2"/>
    <w:rsid w:val="00F40E34"/>
    <w:rsid w:val="00F416B0"/>
    <w:rsid w:val="00F42018"/>
    <w:rsid w:val="00F428F2"/>
    <w:rsid w:val="00F439CC"/>
    <w:rsid w:val="00F447F1"/>
    <w:rsid w:val="00F44906"/>
    <w:rsid w:val="00F449F2"/>
    <w:rsid w:val="00F45034"/>
    <w:rsid w:val="00F453E1"/>
    <w:rsid w:val="00F45662"/>
    <w:rsid w:val="00F46A30"/>
    <w:rsid w:val="00F46EA5"/>
    <w:rsid w:val="00F4700E"/>
    <w:rsid w:val="00F47089"/>
    <w:rsid w:val="00F47583"/>
    <w:rsid w:val="00F4783F"/>
    <w:rsid w:val="00F47C8B"/>
    <w:rsid w:val="00F47CEE"/>
    <w:rsid w:val="00F47F38"/>
    <w:rsid w:val="00F500E9"/>
    <w:rsid w:val="00F503BE"/>
    <w:rsid w:val="00F503CC"/>
    <w:rsid w:val="00F50AF4"/>
    <w:rsid w:val="00F5116D"/>
    <w:rsid w:val="00F52120"/>
    <w:rsid w:val="00F522FE"/>
    <w:rsid w:val="00F52815"/>
    <w:rsid w:val="00F52CC2"/>
    <w:rsid w:val="00F52D11"/>
    <w:rsid w:val="00F52DAD"/>
    <w:rsid w:val="00F5337D"/>
    <w:rsid w:val="00F53AD0"/>
    <w:rsid w:val="00F543F2"/>
    <w:rsid w:val="00F546BE"/>
    <w:rsid w:val="00F546CE"/>
    <w:rsid w:val="00F54AE6"/>
    <w:rsid w:val="00F551AA"/>
    <w:rsid w:val="00F5581A"/>
    <w:rsid w:val="00F56318"/>
    <w:rsid w:val="00F56613"/>
    <w:rsid w:val="00F57AD0"/>
    <w:rsid w:val="00F57C40"/>
    <w:rsid w:val="00F6044D"/>
    <w:rsid w:val="00F604A0"/>
    <w:rsid w:val="00F60D8E"/>
    <w:rsid w:val="00F60DDA"/>
    <w:rsid w:val="00F6124F"/>
    <w:rsid w:val="00F613DF"/>
    <w:rsid w:val="00F615BC"/>
    <w:rsid w:val="00F6171D"/>
    <w:rsid w:val="00F624C2"/>
    <w:rsid w:val="00F62B85"/>
    <w:rsid w:val="00F62C5D"/>
    <w:rsid w:val="00F63A1D"/>
    <w:rsid w:val="00F64036"/>
    <w:rsid w:val="00F648B6"/>
    <w:rsid w:val="00F64E5C"/>
    <w:rsid w:val="00F6527F"/>
    <w:rsid w:val="00F652DD"/>
    <w:rsid w:val="00F653E7"/>
    <w:rsid w:val="00F65BDF"/>
    <w:rsid w:val="00F661DA"/>
    <w:rsid w:val="00F666AD"/>
    <w:rsid w:val="00F666EA"/>
    <w:rsid w:val="00F6731F"/>
    <w:rsid w:val="00F67460"/>
    <w:rsid w:val="00F674E6"/>
    <w:rsid w:val="00F708A5"/>
    <w:rsid w:val="00F70990"/>
    <w:rsid w:val="00F71A7D"/>
    <w:rsid w:val="00F7237C"/>
    <w:rsid w:val="00F72848"/>
    <w:rsid w:val="00F73011"/>
    <w:rsid w:val="00F73CED"/>
    <w:rsid w:val="00F74ECC"/>
    <w:rsid w:val="00F751E1"/>
    <w:rsid w:val="00F75ED0"/>
    <w:rsid w:val="00F75FFE"/>
    <w:rsid w:val="00F76894"/>
    <w:rsid w:val="00F7691C"/>
    <w:rsid w:val="00F76924"/>
    <w:rsid w:val="00F771A4"/>
    <w:rsid w:val="00F77E23"/>
    <w:rsid w:val="00F77EA6"/>
    <w:rsid w:val="00F77F41"/>
    <w:rsid w:val="00F8051D"/>
    <w:rsid w:val="00F80C9D"/>
    <w:rsid w:val="00F80F83"/>
    <w:rsid w:val="00F8105E"/>
    <w:rsid w:val="00F819D2"/>
    <w:rsid w:val="00F81A17"/>
    <w:rsid w:val="00F81A94"/>
    <w:rsid w:val="00F82C82"/>
    <w:rsid w:val="00F82E25"/>
    <w:rsid w:val="00F82E75"/>
    <w:rsid w:val="00F83099"/>
    <w:rsid w:val="00F849CE"/>
    <w:rsid w:val="00F84E5C"/>
    <w:rsid w:val="00F85F01"/>
    <w:rsid w:val="00F86940"/>
    <w:rsid w:val="00F86A61"/>
    <w:rsid w:val="00F90419"/>
    <w:rsid w:val="00F90505"/>
    <w:rsid w:val="00F90D1A"/>
    <w:rsid w:val="00F910EB"/>
    <w:rsid w:val="00F911D5"/>
    <w:rsid w:val="00F9157F"/>
    <w:rsid w:val="00F917E9"/>
    <w:rsid w:val="00F91897"/>
    <w:rsid w:val="00F921C4"/>
    <w:rsid w:val="00F92685"/>
    <w:rsid w:val="00F928E0"/>
    <w:rsid w:val="00F92DA1"/>
    <w:rsid w:val="00F939C8"/>
    <w:rsid w:val="00F93AA7"/>
    <w:rsid w:val="00F93FF6"/>
    <w:rsid w:val="00F9461D"/>
    <w:rsid w:val="00F94999"/>
    <w:rsid w:val="00F9551D"/>
    <w:rsid w:val="00F95D8A"/>
    <w:rsid w:val="00F961FD"/>
    <w:rsid w:val="00F964A4"/>
    <w:rsid w:val="00F9668C"/>
    <w:rsid w:val="00F96C16"/>
    <w:rsid w:val="00F975F4"/>
    <w:rsid w:val="00F97667"/>
    <w:rsid w:val="00F977C9"/>
    <w:rsid w:val="00F977D3"/>
    <w:rsid w:val="00FA088D"/>
    <w:rsid w:val="00FA1442"/>
    <w:rsid w:val="00FA145D"/>
    <w:rsid w:val="00FA180B"/>
    <w:rsid w:val="00FA1959"/>
    <w:rsid w:val="00FA1962"/>
    <w:rsid w:val="00FA1985"/>
    <w:rsid w:val="00FA2D93"/>
    <w:rsid w:val="00FA320D"/>
    <w:rsid w:val="00FA326E"/>
    <w:rsid w:val="00FA34BF"/>
    <w:rsid w:val="00FA35FE"/>
    <w:rsid w:val="00FA3841"/>
    <w:rsid w:val="00FA40AC"/>
    <w:rsid w:val="00FA4C66"/>
    <w:rsid w:val="00FA59A6"/>
    <w:rsid w:val="00FA5B45"/>
    <w:rsid w:val="00FA5D4F"/>
    <w:rsid w:val="00FA6537"/>
    <w:rsid w:val="00FA7115"/>
    <w:rsid w:val="00FA71ED"/>
    <w:rsid w:val="00FA74D8"/>
    <w:rsid w:val="00FA7F7E"/>
    <w:rsid w:val="00FB055B"/>
    <w:rsid w:val="00FB0A8E"/>
    <w:rsid w:val="00FB0F0C"/>
    <w:rsid w:val="00FB14F1"/>
    <w:rsid w:val="00FB176B"/>
    <w:rsid w:val="00FB1841"/>
    <w:rsid w:val="00FB1A54"/>
    <w:rsid w:val="00FB22B1"/>
    <w:rsid w:val="00FB2D84"/>
    <w:rsid w:val="00FB3569"/>
    <w:rsid w:val="00FB3A50"/>
    <w:rsid w:val="00FB4EC4"/>
    <w:rsid w:val="00FB4ECD"/>
    <w:rsid w:val="00FB52D3"/>
    <w:rsid w:val="00FB52F8"/>
    <w:rsid w:val="00FB5465"/>
    <w:rsid w:val="00FB5D42"/>
    <w:rsid w:val="00FB6D5B"/>
    <w:rsid w:val="00FB74AC"/>
    <w:rsid w:val="00FC0579"/>
    <w:rsid w:val="00FC1437"/>
    <w:rsid w:val="00FC1744"/>
    <w:rsid w:val="00FC1F16"/>
    <w:rsid w:val="00FC2623"/>
    <w:rsid w:val="00FC2D00"/>
    <w:rsid w:val="00FC34E3"/>
    <w:rsid w:val="00FC37B4"/>
    <w:rsid w:val="00FC3AA7"/>
    <w:rsid w:val="00FC3CF9"/>
    <w:rsid w:val="00FC40B2"/>
    <w:rsid w:val="00FC4A8B"/>
    <w:rsid w:val="00FC4B6C"/>
    <w:rsid w:val="00FC562B"/>
    <w:rsid w:val="00FC5AC0"/>
    <w:rsid w:val="00FC5EC9"/>
    <w:rsid w:val="00FC65E3"/>
    <w:rsid w:val="00FC6AB7"/>
    <w:rsid w:val="00FC70F2"/>
    <w:rsid w:val="00FC762A"/>
    <w:rsid w:val="00FC7F70"/>
    <w:rsid w:val="00FD005B"/>
    <w:rsid w:val="00FD0107"/>
    <w:rsid w:val="00FD06CF"/>
    <w:rsid w:val="00FD0999"/>
    <w:rsid w:val="00FD123A"/>
    <w:rsid w:val="00FD1BE7"/>
    <w:rsid w:val="00FD1CA7"/>
    <w:rsid w:val="00FD21C0"/>
    <w:rsid w:val="00FD2BBC"/>
    <w:rsid w:val="00FD2EB4"/>
    <w:rsid w:val="00FD4800"/>
    <w:rsid w:val="00FD5C26"/>
    <w:rsid w:val="00FD6623"/>
    <w:rsid w:val="00FD7079"/>
    <w:rsid w:val="00FD7333"/>
    <w:rsid w:val="00FD746C"/>
    <w:rsid w:val="00FD74D8"/>
    <w:rsid w:val="00FD75DE"/>
    <w:rsid w:val="00FD79F4"/>
    <w:rsid w:val="00FD7E6B"/>
    <w:rsid w:val="00FE0206"/>
    <w:rsid w:val="00FE044C"/>
    <w:rsid w:val="00FE05C3"/>
    <w:rsid w:val="00FE1227"/>
    <w:rsid w:val="00FE166D"/>
    <w:rsid w:val="00FE2610"/>
    <w:rsid w:val="00FE2BEB"/>
    <w:rsid w:val="00FE2D8E"/>
    <w:rsid w:val="00FE33FB"/>
    <w:rsid w:val="00FE4BD3"/>
    <w:rsid w:val="00FE4BD6"/>
    <w:rsid w:val="00FE5F49"/>
    <w:rsid w:val="00FE6030"/>
    <w:rsid w:val="00FE6152"/>
    <w:rsid w:val="00FE67A2"/>
    <w:rsid w:val="00FE6966"/>
    <w:rsid w:val="00FE7AC8"/>
    <w:rsid w:val="00FE7FD1"/>
    <w:rsid w:val="00FF0309"/>
    <w:rsid w:val="00FF061E"/>
    <w:rsid w:val="00FF0EE6"/>
    <w:rsid w:val="00FF0F8F"/>
    <w:rsid w:val="00FF1A94"/>
    <w:rsid w:val="00FF1F65"/>
    <w:rsid w:val="00FF2986"/>
    <w:rsid w:val="00FF2BCA"/>
    <w:rsid w:val="00FF413E"/>
    <w:rsid w:val="00FF50BD"/>
    <w:rsid w:val="00FF5AF3"/>
    <w:rsid w:val="00FF5E84"/>
    <w:rsid w:val="00FF6097"/>
    <w:rsid w:val="00FF6731"/>
    <w:rsid w:val="00FF6D3C"/>
    <w:rsid w:val="00FF6F48"/>
    <w:rsid w:val="00FF7923"/>
    <w:rsid w:val="00FF7DF8"/>
    <w:rsid w:val="00FF7F24"/>
    <w:rsid w:val="010E5D24"/>
    <w:rsid w:val="0122C4C0"/>
    <w:rsid w:val="014A5959"/>
    <w:rsid w:val="01664566"/>
    <w:rsid w:val="016E0DF1"/>
    <w:rsid w:val="017FFC83"/>
    <w:rsid w:val="018C877F"/>
    <w:rsid w:val="01D70199"/>
    <w:rsid w:val="01DB9972"/>
    <w:rsid w:val="01DBF216"/>
    <w:rsid w:val="01F411D9"/>
    <w:rsid w:val="01F55F63"/>
    <w:rsid w:val="020399B5"/>
    <w:rsid w:val="021C5AD8"/>
    <w:rsid w:val="02292C47"/>
    <w:rsid w:val="0235B1CB"/>
    <w:rsid w:val="02880971"/>
    <w:rsid w:val="028CDB20"/>
    <w:rsid w:val="0295D7F5"/>
    <w:rsid w:val="02973204"/>
    <w:rsid w:val="02998D21"/>
    <w:rsid w:val="02B579DE"/>
    <w:rsid w:val="02BAA209"/>
    <w:rsid w:val="02C61819"/>
    <w:rsid w:val="031CF46B"/>
    <w:rsid w:val="031D8609"/>
    <w:rsid w:val="03A4B1F0"/>
    <w:rsid w:val="03B8CCC7"/>
    <w:rsid w:val="03C49932"/>
    <w:rsid w:val="03FDB649"/>
    <w:rsid w:val="04515937"/>
    <w:rsid w:val="045278D5"/>
    <w:rsid w:val="04736405"/>
    <w:rsid w:val="04B46855"/>
    <w:rsid w:val="04B6B7BE"/>
    <w:rsid w:val="04C79A55"/>
    <w:rsid w:val="04D51ACC"/>
    <w:rsid w:val="0500F2A8"/>
    <w:rsid w:val="0523CF5D"/>
    <w:rsid w:val="052A5097"/>
    <w:rsid w:val="053E9006"/>
    <w:rsid w:val="055805EF"/>
    <w:rsid w:val="0567BD75"/>
    <w:rsid w:val="057931EC"/>
    <w:rsid w:val="0590D373"/>
    <w:rsid w:val="05A41438"/>
    <w:rsid w:val="05ACB464"/>
    <w:rsid w:val="05B0C8C1"/>
    <w:rsid w:val="05BCEE65"/>
    <w:rsid w:val="061BE05B"/>
    <w:rsid w:val="0632AA09"/>
    <w:rsid w:val="065B46DE"/>
    <w:rsid w:val="0677AF70"/>
    <w:rsid w:val="06932962"/>
    <w:rsid w:val="06A55545"/>
    <w:rsid w:val="06B5A984"/>
    <w:rsid w:val="06C75CB6"/>
    <w:rsid w:val="071DDB59"/>
    <w:rsid w:val="073843C3"/>
    <w:rsid w:val="07836BE0"/>
    <w:rsid w:val="07A2DACE"/>
    <w:rsid w:val="07BF9AF8"/>
    <w:rsid w:val="07C77D83"/>
    <w:rsid w:val="07DD803A"/>
    <w:rsid w:val="07EF37F3"/>
    <w:rsid w:val="08249B15"/>
    <w:rsid w:val="0834DA32"/>
    <w:rsid w:val="0838C7F6"/>
    <w:rsid w:val="0849EB8B"/>
    <w:rsid w:val="0881E92E"/>
    <w:rsid w:val="08D8E30C"/>
    <w:rsid w:val="09152E4B"/>
    <w:rsid w:val="091821C8"/>
    <w:rsid w:val="09250A73"/>
    <w:rsid w:val="092A64C0"/>
    <w:rsid w:val="0933272C"/>
    <w:rsid w:val="0936F3CA"/>
    <w:rsid w:val="094051C9"/>
    <w:rsid w:val="094E0402"/>
    <w:rsid w:val="095921F3"/>
    <w:rsid w:val="095BD3D3"/>
    <w:rsid w:val="097B332A"/>
    <w:rsid w:val="097D7E13"/>
    <w:rsid w:val="09808463"/>
    <w:rsid w:val="099CE21C"/>
    <w:rsid w:val="09B4D330"/>
    <w:rsid w:val="09C0CFC5"/>
    <w:rsid w:val="09C6398C"/>
    <w:rsid w:val="09DAF7F5"/>
    <w:rsid w:val="09EBF0FD"/>
    <w:rsid w:val="0A13E6C8"/>
    <w:rsid w:val="0A1C3B50"/>
    <w:rsid w:val="0A233C65"/>
    <w:rsid w:val="0A4BFBE4"/>
    <w:rsid w:val="0A726ED9"/>
    <w:rsid w:val="0A8A06C5"/>
    <w:rsid w:val="0A9E445A"/>
    <w:rsid w:val="0AB1C8AC"/>
    <w:rsid w:val="0AC0BCA2"/>
    <w:rsid w:val="0AC64539"/>
    <w:rsid w:val="0B03B562"/>
    <w:rsid w:val="0B140097"/>
    <w:rsid w:val="0B1A4675"/>
    <w:rsid w:val="0B55828C"/>
    <w:rsid w:val="0B5D5820"/>
    <w:rsid w:val="0B8913CB"/>
    <w:rsid w:val="0BBBE8AC"/>
    <w:rsid w:val="0BC6E875"/>
    <w:rsid w:val="0BEB71A8"/>
    <w:rsid w:val="0BF0127E"/>
    <w:rsid w:val="0C0F81C2"/>
    <w:rsid w:val="0C18DFF5"/>
    <w:rsid w:val="0C31C52F"/>
    <w:rsid w:val="0C451289"/>
    <w:rsid w:val="0C48C638"/>
    <w:rsid w:val="0C4F2C32"/>
    <w:rsid w:val="0C5AE93E"/>
    <w:rsid w:val="0C7AD09C"/>
    <w:rsid w:val="0C93D43A"/>
    <w:rsid w:val="0CD1BF33"/>
    <w:rsid w:val="0CE01854"/>
    <w:rsid w:val="0CEFD0F4"/>
    <w:rsid w:val="0CF012EC"/>
    <w:rsid w:val="0D121036"/>
    <w:rsid w:val="0D535D19"/>
    <w:rsid w:val="0D5D85E2"/>
    <w:rsid w:val="0D5EF287"/>
    <w:rsid w:val="0D61BEA5"/>
    <w:rsid w:val="0D92E621"/>
    <w:rsid w:val="0D979B6A"/>
    <w:rsid w:val="0DD1AC16"/>
    <w:rsid w:val="0DE7BFF4"/>
    <w:rsid w:val="0E0A4096"/>
    <w:rsid w:val="0E0DC6A4"/>
    <w:rsid w:val="0E302080"/>
    <w:rsid w:val="0E3DCEB6"/>
    <w:rsid w:val="0E5AE740"/>
    <w:rsid w:val="0E5BFBD3"/>
    <w:rsid w:val="0E6CF3A7"/>
    <w:rsid w:val="0E8FDFA0"/>
    <w:rsid w:val="0EA4CC26"/>
    <w:rsid w:val="0EAB7F5A"/>
    <w:rsid w:val="0EC89F69"/>
    <w:rsid w:val="0EEDA304"/>
    <w:rsid w:val="0F000C2C"/>
    <w:rsid w:val="0F0AE2FF"/>
    <w:rsid w:val="0F16DCA8"/>
    <w:rsid w:val="0F1B6673"/>
    <w:rsid w:val="0F3A6E03"/>
    <w:rsid w:val="0F5429E1"/>
    <w:rsid w:val="0F69433D"/>
    <w:rsid w:val="0F7A6DF0"/>
    <w:rsid w:val="0F94B2EE"/>
    <w:rsid w:val="0FA70ED5"/>
    <w:rsid w:val="0FB105FE"/>
    <w:rsid w:val="0FCE25DC"/>
    <w:rsid w:val="1002FA26"/>
    <w:rsid w:val="102BA825"/>
    <w:rsid w:val="10419C2A"/>
    <w:rsid w:val="10751E0D"/>
    <w:rsid w:val="10D27AC4"/>
    <w:rsid w:val="10E4A56B"/>
    <w:rsid w:val="10F32CD6"/>
    <w:rsid w:val="11253868"/>
    <w:rsid w:val="11431E41"/>
    <w:rsid w:val="1145FADE"/>
    <w:rsid w:val="114F2A63"/>
    <w:rsid w:val="11BE73D4"/>
    <w:rsid w:val="11CA5204"/>
    <w:rsid w:val="11CAA569"/>
    <w:rsid w:val="121F2B58"/>
    <w:rsid w:val="122FA178"/>
    <w:rsid w:val="1231CC96"/>
    <w:rsid w:val="12364D23"/>
    <w:rsid w:val="12553BB0"/>
    <w:rsid w:val="1261E0A1"/>
    <w:rsid w:val="127DC1BA"/>
    <w:rsid w:val="129015BD"/>
    <w:rsid w:val="12A7E4F0"/>
    <w:rsid w:val="12C072B3"/>
    <w:rsid w:val="12C1E3F2"/>
    <w:rsid w:val="12CF8F63"/>
    <w:rsid w:val="135D8063"/>
    <w:rsid w:val="1366F40F"/>
    <w:rsid w:val="13723F85"/>
    <w:rsid w:val="137C37D9"/>
    <w:rsid w:val="13A4A336"/>
    <w:rsid w:val="13A4A345"/>
    <w:rsid w:val="13E047D8"/>
    <w:rsid w:val="141C58BB"/>
    <w:rsid w:val="143D6DA3"/>
    <w:rsid w:val="144AF164"/>
    <w:rsid w:val="14566044"/>
    <w:rsid w:val="145FE2AC"/>
    <w:rsid w:val="146C36E4"/>
    <w:rsid w:val="14862AB8"/>
    <w:rsid w:val="14DDB9B9"/>
    <w:rsid w:val="14E4D36A"/>
    <w:rsid w:val="14FA388B"/>
    <w:rsid w:val="1500E46F"/>
    <w:rsid w:val="15232E40"/>
    <w:rsid w:val="153CD4FD"/>
    <w:rsid w:val="1545F1F5"/>
    <w:rsid w:val="155C7171"/>
    <w:rsid w:val="1560D941"/>
    <w:rsid w:val="15677C62"/>
    <w:rsid w:val="1578F556"/>
    <w:rsid w:val="1598E6EB"/>
    <w:rsid w:val="15B14CFA"/>
    <w:rsid w:val="15C09612"/>
    <w:rsid w:val="15C7B37A"/>
    <w:rsid w:val="15CAC6B3"/>
    <w:rsid w:val="15F45D20"/>
    <w:rsid w:val="15F77298"/>
    <w:rsid w:val="15FCCC04"/>
    <w:rsid w:val="160E1627"/>
    <w:rsid w:val="16131A90"/>
    <w:rsid w:val="161DA5D3"/>
    <w:rsid w:val="161E0107"/>
    <w:rsid w:val="16248266"/>
    <w:rsid w:val="1626D4FB"/>
    <w:rsid w:val="1672FF04"/>
    <w:rsid w:val="167325CB"/>
    <w:rsid w:val="1693262A"/>
    <w:rsid w:val="16B9BB5C"/>
    <w:rsid w:val="16EA890F"/>
    <w:rsid w:val="17170BFE"/>
    <w:rsid w:val="1725B1CC"/>
    <w:rsid w:val="174E173D"/>
    <w:rsid w:val="176EF956"/>
    <w:rsid w:val="1773E64D"/>
    <w:rsid w:val="177CB718"/>
    <w:rsid w:val="179273B6"/>
    <w:rsid w:val="17A0820B"/>
    <w:rsid w:val="17B16AC0"/>
    <w:rsid w:val="17B8C9CE"/>
    <w:rsid w:val="1849E15F"/>
    <w:rsid w:val="185B35E9"/>
    <w:rsid w:val="186E0C00"/>
    <w:rsid w:val="186F44AA"/>
    <w:rsid w:val="18749BED"/>
    <w:rsid w:val="1882FCF4"/>
    <w:rsid w:val="18B6B969"/>
    <w:rsid w:val="18BAF59F"/>
    <w:rsid w:val="18C45FF3"/>
    <w:rsid w:val="18CEFC1F"/>
    <w:rsid w:val="18D1A7F4"/>
    <w:rsid w:val="191623EA"/>
    <w:rsid w:val="1927BD82"/>
    <w:rsid w:val="193036EB"/>
    <w:rsid w:val="19355773"/>
    <w:rsid w:val="19640DBF"/>
    <w:rsid w:val="1990AA84"/>
    <w:rsid w:val="19950ECF"/>
    <w:rsid w:val="1998343F"/>
    <w:rsid w:val="19A945B9"/>
    <w:rsid w:val="19C6A3AC"/>
    <w:rsid w:val="19C88E40"/>
    <w:rsid w:val="19DA247B"/>
    <w:rsid w:val="19E20AA5"/>
    <w:rsid w:val="1A320B31"/>
    <w:rsid w:val="1A4A42DB"/>
    <w:rsid w:val="1A4E454C"/>
    <w:rsid w:val="1A52812A"/>
    <w:rsid w:val="1A584205"/>
    <w:rsid w:val="1A668948"/>
    <w:rsid w:val="1A6D9C16"/>
    <w:rsid w:val="1A72EC06"/>
    <w:rsid w:val="1A7D21EF"/>
    <w:rsid w:val="1A9159BC"/>
    <w:rsid w:val="1A99E348"/>
    <w:rsid w:val="1A9E5130"/>
    <w:rsid w:val="1AB78BD8"/>
    <w:rsid w:val="1AFA94BC"/>
    <w:rsid w:val="1B127D09"/>
    <w:rsid w:val="1B4BDB58"/>
    <w:rsid w:val="1B6437B3"/>
    <w:rsid w:val="1B717B5F"/>
    <w:rsid w:val="1B72A387"/>
    <w:rsid w:val="1B757BB3"/>
    <w:rsid w:val="1B87E8EF"/>
    <w:rsid w:val="1B97A741"/>
    <w:rsid w:val="1BA3A5F4"/>
    <w:rsid w:val="1BBB0937"/>
    <w:rsid w:val="1BD71322"/>
    <w:rsid w:val="1BDBAA07"/>
    <w:rsid w:val="1BE10772"/>
    <w:rsid w:val="1BEFAC93"/>
    <w:rsid w:val="1BF17F0D"/>
    <w:rsid w:val="1BFD459A"/>
    <w:rsid w:val="1C22EA41"/>
    <w:rsid w:val="1C354EB2"/>
    <w:rsid w:val="1C382D43"/>
    <w:rsid w:val="1C59CD5D"/>
    <w:rsid w:val="1C806423"/>
    <w:rsid w:val="1C8A4842"/>
    <w:rsid w:val="1CA10153"/>
    <w:rsid w:val="1CC75383"/>
    <w:rsid w:val="1CCC802A"/>
    <w:rsid w:val="1CD44F7A"/>
    <w:rsid w:val="1CEDD423"/>
    <w:rsid w:val="1D246E62"/>
    <w:rsid w:val="1D4136B3"/>
    <w:rsid w:val="1D86F2B3"/>
    <w:rsid w:val="1D9773DF"/>
    <w:rsid w:val="1DB01A12"/>
    <w:rsid w:val="1DC04ABE"/>
    <w:rsid w:val="1DC5CD90"/>
    <w:rsid w:val="1DD92792"/>
    <w:rsid w:val="1DDB9A35"/>
    <w:rsid w:val="1E0F1D10"/>
    <w:rsid w:val="1E12CCF2"/>
    <w:rsid w:val="1E275370"/>
    <w:rsid w:val="1E3E616B"/>
    <w:rsid w:val="1E47CE3A"/>
    <w:rsid w:val="1E4EB092"/>
    <w:rsid w:val="1E5CABD1"/>
    <w:rsid w:val="1E61C6B1"/>
    <w:rsid w:val="1E8BE628"/>
    <w:rsid w:val="1EB8CC4D"/>
    <w:rsid w:val="1EC2513E"/>
    <w:rsid w:val="1ED7163B"/>
    <w:rsid w:val="1EE901AB"/>
    <w:rsid w:val="1F0835C5"/>
    <w:rsid w:val="1F1E8598"/>
    <w:rsid w:val="1F310288"/>
    <w:rsid w:val="1F399E2A"/>
    <w:rsid w:val="1F52DD97"/>
    <w:rsid w:val="1F5CBD21"/>
    <w:rsid w:val="1F6B7AB1"/>
    <w:rsid w:val="1F7CF91C"/>
    <w:rsid w:val="1F84B359"/>
    <w:rsid w:val="1F90F1B8"/>
    <w:rsid w:val="1FA4255C"/>
    <w:rsid w:val="1FB29998"/>
    <w:rsid w:val="1FC5BC84"/>
    <w:rsid w:val="1FD423B2"/>
    <w:rsid w:val="1FDF603C"/>
    <w:rsid w:val="1FDF7EBA"/>
    <w:rsid w:val="1FF086C3"/>
    <w:rsid w:val="1FF16085"/>
    <w:rsid w:val="20199594"/>
    <w:rsid w:val="201E74F9"/>
    <w:rsid w:val="20237F03"/>
    <w:rsid w:val="20318C9B"/>
    <w:rsid w:val="205F1B77"/>
    <w:rsid w:val="205FDB3C"/>
    <w:rsid w:val="2070B6EC"/>
    <w:rsid w:val="20746C6C"/>
    <w:rsid w:val="2095E878"/>
    <w:rsid w:val="209C5C6B"/>
    <w:rsid w:val="21240853"/>
    <w:rsid w:val="218E9BEF"/>
    <w:rsid w:val="219A103B"/>
    <w:rsid w:val="21C14B66"/>
    <w:rsid w:val="2211D5A3"/>
    <w:rsid w:val="22353C6D"/>
    <w:rsid w:val="22800588"/>
    <w:rsid w:val="22869C47"/>
    <w:rsid w:val="22878974"/>
    <w:rsid w:val="2295E444"/>
    <w:rsid w:val="2295E8E9"/>
    <w:rsid w:val="22A753FF"/>
    <w:rsid w:val="23088D08"/>
    <w:rsid w:val="2314403D"/>
    <w:rsid w:val="2315F802"/>
    <w:rsid w:val="2323A4EE"/>
    <w:rsid w:val="23252AC6"/>
    <w:rsid w:val="232A1B06"/>
    <w:rsid w:val="232ADF47"/>
    <w:rsid w:val="234DE4E3"/>
    <w:rsid w:val="235F9CA4"/>
    <w:rsid w:val="2382CA61"/>
    <w:rsid w:val="2385570F"/>
    <w:rsid w:val="23860139"/>
    <w:rsid w:val="238E2214"/>
    <w:rsid w:val="23A49393"/>
    <w:rsid w:val="23B964D7"/>
    <w:rsid w:val="23BCAC85"/>
    <w:rsid w:val="241B7C3C"/>
    <w:rsid w:val="24545094"/>
    <w:rsid w:val="246D137D"/>
    <w:rsid w:val="24827B1E"/>
    <w:rsid w:val="24910A6C"/>
    <w:rsid w:val="24B5D446"/>
    <w:rsid w:val="24C3172C"/>
    <w:rsid w:val="24E0FD5E"/>
    <w:rsid w:val="250B8FFE"/>
    <w:rsid w:val="254BF7AC"/>
    <w:rsid w:val="255342DE"/>
    <w:rsid w:val="2573AFE1"/>
    <w:rsid w:val="257B2DC4"/>
    <w:rsid w:val="258ECCDF"/>
    <w:rsid w:val="2593D6BF"/>
    <w:rsid w:val="25A06854"/>
    <w:rsid w:val="25D17389"/>
    <w:rsid w:val="25DF889F"/>
    <w:rsid w:val="25E15F91"/>
    <w:rsid w:val="25EBA328"/>
    <w:rsid w:val="25EE63EF"/>
    <w:rsid w:val="260CC60A"/>
    <w:rsid w:val="261033BE"/>
    <w:rsid w:val="262DBA89"/>
    <w:rsid w:val="2633FDCD"/>
    <w:rsid w:val="263688E8"/>
    <w:rsid w:val="2651AEFF"/>
    <w:rsid w:val="267C4F68"/>
    <w:rsid w:val="26ABAAE5"/>
    <w:rsid w:val="26DD8F16"/>
    <w:rsid w:val="270023F2"/>
    <w:rsid w:val="27346DDD"/>
    <w:rsid w:val="273F6B37"/>
    <w:rsid w:val="27866172"/>
    <w:rsid w:val="279E9FCC"/>
    <w:rsid w:val="27FD8C29"/>
    <w:rsid w:val="28173B71"/>
    <w:rsid w:val="28260BF6"/>
    <w:rsid w:val="282CA754"/>
    <w:rsid w:val="284D4E01"/>
    <w:rsid w:val="28A2DE08"/>
    <w:rsid w:val="28A5B09D"/>
    <w:rsid w:val="28BA2B8A"/>
    <w:rsid w:val="28CE71B0"/>
    <w:rsid w:val="28D63F35"/>
    <w:rsid w:val="28DDB583"/>
    <w:rsid w:val="28F1F167"/>
    <w:rsid w:val="29115C55"/>
    <w:rsid w:val="2913C6CC"/>
    <w:rsid w:val="29288AEA"/>
    <w:rsid w:val="29399EBF"/>
    <w:rsid w:val="29A176E3"/>
    <w:rsid w:val="29FC557E"/>
    <w:rsid w:val="2A1DFBC4"/>
    <w:rsid w:val="2A3FFE28"/>
    <w:rsid w:val="2A743665"/>
    <w:rsid w:val="2A76C3A7"/>
    <w:rsid w:val="2A89E9F8"/>
    <w:rsid w:val="2AA5096C"/>
    <w:rsid w:val="2AB78C67"/>
    <w:rsid w:val="2AC91040"/>
    <w:rsid w:val="2ADFD73B"/>
    <w:rsid w:val="2AE3AB27"/>
    <w:rsid w:val="2AE636F5"/>
    <w:rsid w:val="2AF20F86"/>
    <w:rsid w:val="2AF393E5"/>
    <w:rsid w:val="2B2EE846"/>
    <w:rsid w:val="2B32AEE9"/>
    <w:rsid w:val="2B7D995E"/>
    <w:rsid w:val="2BA693C5"/>
    <w:rsid w:val="2BBD5539"/>
    <w:rsid w:val="2BFFED89"/>
    <w:rsid w:val="2C01169A"/>
    <w:rsid w:val="2C05B76B"/>
    <w:rsid w:val="2C5C8875"/>
    <w:rsid w:val="2CBE60CD"/>
    <w:rsid w:val="2CC8FAF4"/>
    <w:rsid w:val="2CCADDB5"/>
    <w:rsid w:val="2CCF91A6"/>
    <w:rsid w:val="2CD76040"/>
    <w:rsid w:val="2CF40919"/>
    <w:rsid w:val="2CF446F9"/>
    <w:rsid w:val="2CF7A142"/>
    <w:rsid w:val="2D11D952"/>
    <w:rsid w:val="2D46E039"/>
    <w:rsid w:val="2D503744"/>
    <w:rsid w:val="2D5F78C3"/>
    <w:rsid w:val="2D75D66C"/>
    <w:rsid w:val="2DABC8D6"/>
    <w:rsid w:val="2DCCE792"/>
    <w:rsid w:val="2DCF64B1"/>
    <w:rsid w:val="2DE72639"/>
    <w:rsid w:val="2DE94229"/>
    <w:rsid w:val="2DF0796C"/>
    <w:rsid w:val="2E0181C3"/>
    <w:rsid w:val="2E1459EE"/>
    <w:rsid w:val="2E1D4FB1"/>
    <w:rsid w:val="2E4C8418"/>
    <w:rsid w:val="2E57B6A4"/>
    <w:rsid w:val="2E619E23"/>
    <w:rsid w:val="2EC9001D"/>
    <w:rsid w:val="2ED0B1F3"/>
    <w:rsid w:val="2EDDD764"/>
    <w:rsid w:val="2F1F2F9F"/>
    <w:rsid w:val="2F2D7B65"/>
    <w:rsid w:val="2F2EA00F"/>
    <w:rsid w:val="2F5C63C2"/>
    <w:rsid w:val="2F961225"/>
    <w:rsid w:val="2FA7C18F"/>
    <w:rsid w:val="2FD1035E"/>
    <w:rsid w:val="3019F131"/>
    <w:rsid w:val="3027401B"/>
    <w:rsid w:val="304C5676"/>
    <w:rsid w:val="304F1FE3"/>
    <w:rsid w:val="30900D0A"/>
    <w:rsid w:val="30AF7949"/>
    <w:rsid w:val="30E95FC2"/>
    <w:rsid w:val="311262B0"/>
    <w:rsid w:val="3113892F"/>
    <w:rsid w:val="313164E3"/>
    <w:rsid w:val="3149CE50"/>
    <w:rsid w:val="315BA687"/>
    <w:rsid w:val="31803697"/>
    <w:rsid w:val="31BB2C2C"/>
    <w:rsid w:val="31BE4294"/>
    <w:rsid w:val="3202269C"/>
    <w:rsid w:val="32109DFB"/>
    <w:rsid w:val="32554647"/>
    <w:rsid w:val="325D2B70"/>
    <w:rsid w:val="3262A876"/>
    <w:rsid w:val="32853023"/>
    <w:rsid w:val="329211CB"/>
    <w:rsid w:val="329E5AAC"/>
    <w:rsid w:val="32BF300D"/>
    <w:rsid w:val="32C84BA6"/>
    <w:rsid w:val="32CC1B30"/>
    <w:rsid w:val="32EC7C52"/>
    <w:rsid w:val="3308915A"/>
    <w:rsid w:val="334391F0"/>
    <w:rsid w:val="334770AD"/>
    <w:rsid w:val="33666DD9"/>
    <w:rsid w:val="336C73F7"/>
    <w:rsid w:val="3380BB9B"/>
    <w:rsid w:val="33C15027"/>
    <w:rsid w:val="33C47C69"/>
    <w:rsid w:val="33D13FC3"/>
    <w:rsid w:val="3403BEBC"/>
    <w:rsid w:val="340F41F9"/>
    <w:rsid w:val="340F81AA"/>
    <w:rsid w:val="34273E59"/>
    <w:rsid w:val="34369223"/>
    <w:rsid w:val="34505AEB"/>
    <w:rsid w:val="34916F47"/>
    <w:rsid w:val="34935C3A"/>
    <w:rsid w:val="34996765"/>
    <w:rsid w:val="349D714F"/>
    <w:rsid w:val="34C26EB9"/>
    <w:rsid w:val="34D67D84"/>
    <w:rsid w:val="34ED3BA2"/>
    <w:rsid w:val="353DF2A8"/>
    <w:rsid w:val="3554E852"/>
    <w:rsid w:val="35722869"/>
    <w:rsid w:val="35A75ECA"/>
    <w:rsid w:val="35E1EA1C"/>
    <w:rsid w:val="35E9A139"/>
    <w:rsid w:val="3623AF9A"/>
    <w:rsid w:val="362741C4"/>
    <w:rsid w:val="363325A0"/>
    <w:rsid w:val="365693CC"/>
    <w:rsid w:val="3672DA25"/>
    <w:rsid w:val="36758971"/>
    <w:rsid w:val="367C3425"/>
    <w:rsid w:val="367FB553"/>
    <w:rsid w:val="369C13F4"/>
    <w:rsid w:val="36C9A499"/>
    <w:rsid w:val="36D04341"/>
    <w:rsid w:val="36D7E5AA"/>
    <w:rsid w:val="3714F2FC"/>
    <w:rsid w:val="3723AC2C"/>
    <w:rsid w:val="3758A146"/>
    <w:rsid w:val="376BB53E"/>
    <w:rsid w:val="3773681B"/>
    <w:rsid w:val="3785B8FB"/>
    <w:rsid w:val="378E43AC"/>
    <w:rsid w:val="3793479E"/>
    <w:rsid w:val="37947DF3"/>
    <w:rsid w:val="37985C80"/>
    <w:rsid w:val="37DAC21A"/>
    <w:rsid w:val="37FFE484"/>
    <w:rsid w:val="380DEDCB"/>
    <w:rsid w:val="3820F96C"/>
    <w:rsid w:val="382C1E76"/>
    <w:rsid w:val="38365342"/>
    <w:rsid w:val="3854ACD5"/>
    <w:rsid w:val="38585D79"/>
    <w:rsid w:val="386AE8D4"/>
    <w:rsid w:val="386BF6BB"/>
    <w:rsid w:val="388BB888"/>
    <w:rsid w:val="38A60F43"/>
    <w:rsid w:val="38C9ECBF"/>
    <w:rsid w:val="38D60BAF"/>
    <w:rsid w:val="38D96A98"/>
    <w:rsid w:val="3908331B"/>
    <w:rsid w:val="394B85E6"/>
    <w:rsid w:val="39718CAF"/>
    <w:rsid w:val="39794A26"/>
    <w:rsid w:val="397C0528"/>
    <w:rsid w:val="39B3FF2C"/>
    <w:rsid w:val="39C0E4BC"/>
    <w:rsid w:val="39CA4612"/>
    <w:rsid w:val="39D8B227"/>
    <w:rsid w:val="39D8B72E"/>
    <w:rsid w:val="39F17D16"/>
    <w:rsid w:val="3A0C1983"/>
    <w:rsid w:val="3A2A0C39"/>
    <w:rsid w:val="3A3DCB9E"/>
    <w:rsid w:val="3A40E31F"/>
    <w:rsid w:val="3A448E85"/>
    <w:rsid w:val="3A455558"/>
    <w:rsid w:val="3A559849"/>
    <w:rsid w:val="3A904208"/>
    <w:rsid w:val="3A9555FD"/>
    <w:rsid w:val="3AB42D32"/>
    <w:rsid w:val="3AC20550"/>
    <w:rsid w:val="3AD79D15"/>
    <w:rsid w:val="3AE38238"/>
    <w:rsid w:val="3AE4BEC4"/>
    <w:rsid w:val="3B014292"/>
    <w:rsid w:val="3B065594"/>
    <w:rsid w:val="3B19819C"/>
    <w:rsid w:val="3B1CCF0A"/>
    <w:rsid w:val="3B27FF94"/>
    <w:rsid w:val="3B579C6F"/>
    <w:rsid w:val="3B850038"/>
    <w:rsid w:val="3B8C4D97"/>
    <w:rsid w:val="3B98E3A9"/>
    <w:rsid w:val="3BBFCAE5"/>
    <w:rsid w:val="3BD07F5C"/>
    <w:rsid w:val="3BD4BF4B"/>
    <w:rsid w:val="3BE05A56"/>
    <w:rsid w:val="3BE3CBCA"/>
    <w:rsid w:val="3BFF64F5"/>
    <w:rsid w:val="3C35B127"/>
    <w:rsid w:val="3C3DB584"/>
    <w:rsid w:val="3C8CE8EF"/>
    <w:rsid w:val="3CBBBB88"/>
    <w:rsid w:val="3CD6B67A"/>
    <w:rsid w:val="3CE5B694"/>
    <w:rsid w:val="3D039906"/>
    <w:rsid w:val="3D0F1537"/>
    <w:rsid w:val="3D281DF8"/>
    <w:rsid w:val="3D30EB0C"/>
    <w:rsid w:val="3D3FB158"/>
    <w:rsid w:val="3D4144D0"/>
    <w:rsid w:val="3D5ED71C"/>
    <w:rsid w:val="3D7C3E64"/>
    <w:rsid w:val="3DA3CE0B"/>
    <w:rsid w:val="3DA72839"/>
    <w:rsid w:val="3DAB55EF"/>
    <w:rsid w:val="3DD44987"/>
    <w:rsid w:val="3DFA9535"/>
    <w:rsid w:val="3E0197AC"/>
    <w:rsid w:val="3E07EE77"/>
    <w:rsid w:val="3E142EE5"/>
    <w:rsid w:val="3E1ED2B1"/>
    <w:rsid w:val="3E33452C"/>
    <w:rsid w:val="3E343405"/>
    <w:rsid w:val="3E4B260F"/>
    <w:rsid w:val="3E4CA063"/>
    <w:rsid w:val="3E543999"/>
    <w:rsid w:val="3E6EFB9D"/>
    <w:rsid w:val="3E721048"/>
    <w:rsid w:val="3E942E50"/>
    <w:rsid w:val="3E994168"/>
    <w:rsid w:val="3EC2EC5C"/>
    <w:rsid w:val="3EE289A1"/>
    <w:rsid w:val="3F2893C9"/>
    <w:rsid w:val="3F34A416"/>
    <w:rsid w:val="3F4C4E50"/>
    <w:rsid w:val="3F5573EC"/>
    <w:rsid w:val="3F778D5A"/>
    <w:rsid w:val="3F83FB69"/>
    <w:rsid w:val="3F8AB3C0"/>
    <w:rsid w:val="3FB2B8D3"/>
    <w:rsid w:val="3FC943F9"/>
    <w:rsid w:val="3FCD45E9"/>
    <w:rsid w:val="3FE45F85"/>
    <w:rsid w:val="3FF9D17B"/>
    <w:rsid w:val="40283CEB"/>
    <w:rsid w:val="4035F1CC"/>
    <w:rsid w:val="4036D616"/>
    <w:rsid w:val="4046CDE7"/>
    <w:rsid w:val="4050E977"/>
    <w:rsid w:val="40C14A51"/>
    <w:rsid w:val="40CFD263"/>
    <w:rsid w:val="40D51F59"/>
    <w:rsid w:val="40E0772B"/>
    <w:rsid w:val="410F5D9E"/>
    <w:rsid w:val="41569D74"/>
    <w:rsid w:val="416CFF24"/>
    <w:rsid w:val="416EBE85"/>
    <w:rsid w:val="41858777"/>
    <w:rsid w:val="418F0015"/>
    <w:rsid w:val="41907DC0"/>
    <w:rsid w:val="41994041"/>
    <w:rsid w:val="41A126C4"/>
    <w:rsid w:val="41ECBE4B"/>
    <w:rsid w:val="420A48E4"/>
    <w:rsid w:val="4222895C"/>
    <w:rsid w:val="422D0033"/>
    <w:rsid w:val="4242CDFE"/>
    <w:rsid w:val="4243C002"/>
    <w:rsid w:val="42724798"/>
    <w:rsid w:val="42823E5D"/>
    <w:rsid w:val="42ACE3AF"/>
    <w:rsid w:val="42BEE2C7"/>
    <w:rsid w:val="42DBBE98"/>
    <w:rsid w:val="42FA58B3"/>
    <w:rsid w:val="432D7D10"/>
    <w:rsid w:val="433510A2"/>
    <w:rsid w:val="4340C4B0"/>
    <w:rsid w:val="43522932"/>
    <w:rsid w:val="4354792B"/>
    <w:rsid w:val="4357EAB5"/>
    <w:rsid w:val="43583089"/>
    <w:rsid w:val="43672EE4"/>
    <w:rsid w:val="436C7077"/>
    <w:rsid w:val="437A0C17"/>
    <w:rsid w:val="43B23A3E"/>
    <w:rsid w:val="43BAE463"/>
    <w:rsid w:val="43BB7E1B"/>
    <w:rsid w:val="43DF29B3"/>
    <w:rsid w:val="44583B27"/>
    <w:rsid w:val="445EC4FB"/>
    <w:rsid w:val="449C769E"/>
    <w:rsid w:val="44A1942D"/>
    <w:rsid w:val="44AA6424"/>
    <w:rsid w:val="44C87BC0"/>
    <w:rsid w:val="44CFE790"/>
    <w:rsid w:val="44E0F824"/>
    <w:rsid w:val="44FEE77C"/>
    <w:rsid w:val="4500F6CE"/>
    <w:rsid w:val="450D97C1"/>
    <w:rsid w:val="453AE360"/>
    <w:rsid w:val="4556E924"/>
    <w:rsid w:val="456F6B7A"/>
    <w:rsid w:val="457CA86A"/>
    <w:rsid w:val="457D73DD"/>
    <w:rsid w:val="45CCBC65"/>
    <w:rsid w:val="45E05421"/>
    <w:rsid w:val="460D7F3F"/>
    <w:rsid w:val="4628FE1D"/>
    <w:rsid w:val="463E064B"/>
    <w:rsid w:val="4657B9E5"/>
    <w:rsid w:val="467495FF"/>
    <w:rsid w:val="467C37AC"/>
    <w:rsid w:val="46909DC3"/>
    <w:rsid w:val="46AFB3EB"/>
    <w:rsid w:val="46D23655"/>
    <w:rsid w:val="46D729E5"/>
    <w:rsid w:val="46E16888"/>
    <w:rsid w:val="46E49505"/>
    <w:rsid w:val="46FC5786"/>
    <w:rsid w:val="46FDFCA5"/>
    <w:rsid w:val="4715F9BF"/>
    <w:rsid w:val="471A8BA1"/>
    <w:rsid w:val="47238CD8"/>
    <w:rsid w:val="4731064D"/>
    <w:rsid w:val="4737568F"/>
    <w:rsid w:val="474AF354"/>
    <w:rsid w:val="47657436"/>
    <w:rsid w:val="477C1465"/>
    <w:rsid w:val="477CF0E3"/>
    <w:rsid w:val="47A2A0B9"/>
    <w:rsid w:val="47A34AAC"/>
    <w:rsid w:val="47D34D23"/>
    <w:rsid w:val="47D65CF6"/>
    <w:rsid w:val="47E60165"/>
    <w:rsid w:val="47FA3BE2"/>
    <w:rsid w:val="4810CA0F"/>
    <w:rsid w:val="481B6DCF"/>
    <w:rsid w:val="481BA75B"/>
    <w:rsid w:val="483FD398"/>
    <w:rsid w:val="48417788"/>
    <w:rsid w:val="485B18C0"/>
    <w:rsid w:val="486F8638"/>
    <w:rsid w:val="488B67C2"/>
    <w:rsid w:val="48A8CA57"/>
    <w:rsid w:val="48BB84EF"/>
    <w:rsid w:val="48EE07BA"/>
    <w:rsid w:val="48FE9689"/>
    <w:rsid w:val="4903F638"/>
    <w:rsid w:val="490E6024"/>
    <w:rsid w:val="4957ADD7"/>
    <w:rsid w:val="49776FEF"/>
    <w:rsid w:val="498D5908"/>
    <w:rsid w:val="499BD3DC"/>
    <w:rsid w:val="499C0676"/>
    <w:rsid w:val="49AE3727"/>
    <w:rsid w:val="49C5647D"/>
    <w:rsid w:val="49CCE84F"/>
    <w:rsid w:val="49FA9027"/>
    <w:rsid w:val="4A3EB30A"/>
    <w:rsid w:val="4A4CF366"/>
    <w:rsid w:val="4A87CC2A"/>
    <w:rsid w:val="4A98CDC4"/>
    <w:rsid w:val="4AA1FC20"/>
    <w:rsid w:val="4AA3B0CC"/>
    <w:rsid w:val="4AA72F39"/>
    <w:rsid w:val="4ABE5598"/>
    <w:rsid w:val="4AC62BF5"/>
    <w:rsid w:val="4AD9E463"/>
    <w:rsid w:val="4AE4A9EC"/>
    <w:rsid w:val="4AEC2628"/>
    <w:rsid w:val="4AEE797F"/>
    <w:rsid w:val="4AF7F059"/>
    <w:rsid w:val="4B179013"/>
    <w:rsid w:val="4B3590FA"/>
    <w:rsid w:val="4B514D85"/>
    <w:rsid w:val="4B619893"/>
    <w:rsid w:val="4B6CE6B7"/>
    <w:rsid w:val="4B7273A9"/>
    <w:rsid w:val="4B90B721"/>
    <w:rsid w:val="4BAFAF22"/>
    <w:rsid w:val="4BBF6AB0"/>
    <w:rsid w:val="4BC061EB"/>
    <w:rsid w:val="4BF79781"/>
    <w:rsid w:val="4BFA444F"/>
    <w:rsid w:val="4C3A20EC"/>
    <w:rsid w:val="4C3B0C57"/>
    <w:rsid w:val="4C4503FD"/>
    <w:rsid w:val="4C4B175E"/>
    <w:rsid w:val="4C5FF135"/>
    <w:rsid w:val="4CD61C8F"/>
    <w:rsid w:val="4CDC8003"/>
    <w:rsid w:val="4D5D8786"/>
    <w:rsid w:val="4D61A254"/>
    <w:rsid w:val="4D88E9E9"/>
    <w:rsid w:val="4DB331C0"/>
    <w:rsid w:val="4DFECCCF"/>
    <w:rsid w:val="4E2151EA"/>
    <w:rsid w:val="4E309FEA"/>
    <w:rsid w:val="4E3BC7D2"/>
    <w:rsid w:val="4E6553F1"/>
    <w:rsid w:val="4EAB5478"/>
    <w:rsid w:val="4EB2BB6B"/>
    <w:rsid w:val="4EB8A12A"/>
    <w:rsid w:val="4ED7F17E"/>
    <w:rsid w:val="4ED9C58A"/>
    <w:rsid w:val="4EF211C5"/>
    <w:rsid w:val="4EF52EE0"/>
    <w:rsid w:val="4F100508"/>
    <w:rsid w:val="4F1F7BC7"/>
    <w:rsid w:val="4F30C42A"/>
    <w:rsid w:val="4F3D3EC5"/>
    <w:rsid w:val="4F40D78A"/>
    <w:rsid w:val="4F5A0F5F"/>
    <w:rsid w:val="4F5EB33A"/>
    <w:rsid w:val="4F757DC6"/>
    <w:rsid w:val="4F8D55FD"/>
    <w:rsid w:val="4F90B017"/>
    <w:rsid w:val="4FA54800"/>
    <w:rsid w:val="4FAE42C5"/>
    <w:rsid w:val="4FBF974B"/>
    <w:rsid w:val="4FF9BDFB"/>
    <w:rsid w:val="50243FA0"/>
    <w:rsid w:val="50628F8C"/>
    <w:rsid w:val="506C7353"/>
    <w:rsid w:val="50714A0C"/>
    <w:rsid w:val="508B53EF"/>
    <w:rsid w:val="509394CC"/>
    <w:rsid w:val="509CF44F"/>
    <w:rsid w:val="50AA2B8F"/>
    <w:rsid w:val="50AD3050"/>
    <w:rsid w:val="50AD39D8"/>
    <w:rsid w:val="50BE3181"/>
    <w:rsid w:val="50C2D242"/>
    <w:rsid w:val="50C78BD9"/>
    <w:rsid w:val="50F67D60"/>
    <w:rsid w:val="5128986E"/>
    <w:rsid w:val="51542390"/>
    <w:rsid w:val="515B255A"/>
    <w:rsid w:val="516E2FB9"/>
    <w:rsid w:val="517DAD6D"/>
    <w:rsid w:val="518588B5"/>
    <w:rsid w:val="51CEC504"/>
    <w:rsid w:val="51E25DE0"/>
    <w:rsid w:val="522033E4"/>
    <w:rsid w:val="522CF973"/>
    <w:rsid w:val="52691F94"/>
    <w:rsid w:val="526CD415"/>
    <w:rsid w:val="52842DCC"/>
    <w:rsid w:val="528DC601"/>
    <w:rsid w:val="52A0801D"/>
    <w:rsid w:val="52A1CACB"/>
    <w:rsid w:val="52A262A4"/>
    <w:rsid w:val="52C78B79"/>
    <w:rsid w:val="52DA1258"/>
    <w:rsid w:val="52DE1FD2"/>
    <w:rsid w:val="531DD3D2"/>
    <w:rsid w:val="53481556"/>
    <w:rsid w:val="5349B57E"/>
    <w:rsid w:val="535232BA"/>
    <w:rsid w:val="5365A88E"/>
    <w:rsid w:val="5373EEEB"/>
    <w:rsid w:val="53881E6C"/>
    <w:rsid w:val="539240EF"/>
    <w:rsid w:val="53C7ACF2"/>
    <w:rsid w:val="53E3D093"/>
    <w:rsid w:val="53FEC37C"/>
    <w:rsid w:val="540C2250"/>
    <w:rsid w:val="54168E73"/>
    <w:rsid w:val="5432BE13"/>
    <w:rsid w:val="5440B4A1"/>
    <w:rsid w:val="54A9D97D"/>
    <w:rsid w:val="54D4A444"/>
    <w:rsid w:val="54E4B227"/>
    <w:rsid w:val="54E936FD"/>
    <w:rsid w:val="551B2AC1"/>
    <w:rsid w:val="551EBE04"/>
    <w:rsid w:val="55562DBF"/>
    <w:rsid w:val="555A4EFC"/>
    <w:rsid w:val="555EA084"/>
    <w:rsid w:val="5562AF2C"/>
    <w:rsid w:val="5584CF2D"/>
    <w:rsid w:val="5584D02A"/>
    <w:rsid w:val="558EB14D"/>
    <w:rsid w:val="558F5F7D"/>
    <w:rsid w:val="55B4C38E"/>
    <w:rsid w:val="55C7C6D5"/>
    <w:rsid w:val="55CEC076"/>
    <w:rsid w:val="55CF6EE1"/>
    <w:rsid w:val="55DC9D3B"/>
    <w:rsid w:val="55E6B203"/>
    <w:rsid w:val="55E9B232"/>
    <w:rsid w:val="5608E832"/>
    <w:rsid w:val="5614605E"/>
    <w:rsid w:val="565A919C"/>
    <w:rsid w:val="565DC903"/>
    <w:rsid w:val="5682E0D2"/>
    <w:rsid w:val="56EA29CB"/>
    <w:rsid w:val="56FD23AA"/>
    <w:rsid w:val="5721101C"/>
    <w:rsid w:val="57432CA6"/>
    <w:rsid w:val="5793E0D6"/>
    <w:rsid w:val="57B5C102"/>
    <w:rsid w:val="57EB741F"/>
    <w:rsid w:val="57FB902C"/>
    <w:rsid w:val="58041FC3"/>
    <w:rsid w:val="58327D58"/>
    <w:rsid w:val="5880FD18"/>
    <w:rsid w:val="5898F40B"/>
    <w:rsid w:val="58ABED38"/>
    <w:rsid w:val="58AFC2C4"/>
    <w:rsid w:val="58AFF3BA"/>
    <w:rsid w:val="58DFB5B2"/>
    <w:rsid w:val="58F0E76B"/>
    <w:rsid w:val="58F0F85C"/>
    <w:rsid w:val="590176D9"/>
    <w:rsid w:val="5902FB7B"/>
    <w:rsid w:val="5911347A"/>
    <w:rsid w:val="59474A8C"/>
    <w:rsid w:val="596022DA"/>
    <w:rsid w:val="5981F7C5"/>
    <w:rsid w:val="599453A4"/>
    <w:rsid w:val="59965835"/>
    <w:rsid w:val="59A84952"/>
    <w:rsid w:val="59AA949A"/>
    <w:rsid w:val="59C30719"/>
    <w:rsid w:val="59C53285"/>
    <w:rsid w:val="59CAEC89"/>
    <w:rsid w:val="5A015724"/>
    <w:rsid w:val="5A114B5C"/>
    <w:rsid w:val="5A227530"/>
    <w:rsid w:val="5A25E734"/>
    <w:rsid w:val="5A4031EF"/>
    <w:rsid w:val="5A5E2B38"/>
    <w:rsid w:val="5A667ED9"/>
    <w:rsid w:val="5A8B36D9"/>
    <w:rsid w:val="5A8CB444"/>
    <w:rsid w:val="5AB47F11"/>
    <w:rsid w:val="5ABCB6EC"/>
    <w:rsid w:val="5AC084C9"/>
    <w:rsid w:val="5AC98420"/>
    <w:rsid w:val="5AF46637"/>
    <w:rsid w:val="5AF4CAEB"/>
    <w:rsid w:val="5B05E85E"/>
    <w:rsid w:val="5B0882BE"/>
    <w:rsid w:val="5B0AE221"/>
    <w:rsid w:val="5B233ADC"/>
    <w:rsid w:val="5B383533"/>
    <w:rsid w:val="5B39DF4A"/>
    <w:rsid w:val="5B542340"/>
    <w:rsid w:val="5B92CC4B"/>
    <w:rsid w:val="5B975F7B"/>
    <w:rsid w:val="5B9CBB5C"/>
    <w:rsid w:val="5BA6D1EE"/>
    <w:rsid w:val="5BB2B782"/>
    <w:rsid w:val="5BEFD5F0"/>
    <w:rsid w:val="5C145CCC"/>
    <w:rsid w:val="5C385AD8"/>
    <w:rsid w:val="5C3CE339"/>
    <w:rsid w:val="5C52DC17"/>
    <w:rsid w:val="5C6E9B10"/>
    <w:rsid w:val="5C7EC5C3"/>
    <w:rsid w:val="5CBD790E"/>
    <w:rsid w:val="5CE85E4F"/>
    <w:rsid w:val="5CF0222E"/>
    <w:rsid w:val="5D10C10F"/>
    <w:rsid w:val="5D244972"/>
    <w:rsid w:val="5D44DB0F"/>
    <w:rsid w:val="5D473F63"/>
    <w:rsid w:val="5D6454F6"/>
    <w:rsid w:val="5D90A205"/>
    <w:rsid w:val="5DA0AE3A"/>
    <w:rsid w:val="5DC716D5"/>
    <w:rsid w:val="5DE83863"/>
    <w:rsid w:val="5E447197"/>
    <w:rsid w:val="5E52CBAE"/>
    <w:rsid w:val="5E7749F8"/>
    <w:rsid w:val="5E978912"/>
    <w:rsid w:val="5E9B986D"/>
    <w:rsid w:val="5EAD6456"/>
    <w:rsid w:val="5EE2C734"/>
    <w:rsid w:val="5F1F353E"/>
    <w:rsid w:val="5F477719"/>
    <w:rsid w:val="5F65B165"/>
    <w:rsid w:val="5F663618"/>
    <w:rsid w:val="5F7442CB"/>
    <w:rsid w:val="5F92ABD1"/>
    <w:rsid w:val="5FB4A1CE"/>
    <w:rsid w:val="5FC71616"/>
    <w:rsid w:val="5FDEBEEB"/>
    <w:rsid w:val="5FFE4060"/>
    <w:rsid w:val="6007FF4C"/>
    <w:rsid w:val="6008EA03"/>
    <w:rsid w:val="602054AF"/>
    <w:rsid w:val="60263367"/>
    <w:rsid w:val="605E1F52"/>
    <w:rsid w:val="6078A16D"/>
    <w:rsid w:val="608DDABE"/>
    <w:rsid w:val="60B31136"/>
    <w:rsid w:val="60C21DA6"/>
    <w:rsid w:val="60FD43F8"/>
    <w:rsid w:val="6110D262"/>
    <w:rsid w:val="611B27C1"/>
    <w:rsid w:val="611FE0FA"/>
    <w:rsid w:val="61214DFD"/>
    <w:rsid w:val="61266E4B"/>
    <w:rsid w:val="61399AE7"/>
    <w:rsid w:val="613F0942"/>
    <w:rsid w:val="614230F6"/>
    <w:rsid w:val="61493D2E"/>
    <w:rsid w:val="6167EF9C"/>
    <w:rsid w:val="616E1100"/>
    <w:rsid w:val="6177DE88"/>
    <w:rsid w:val="6189F274"/>
    <w:rsid w:val="619F53EE"/>
    <w:rsid w:val="61A2D6EC"/>
    <w:rsid w:val="61AC545A"/>
    <w:rsid w:val="61AED503"/>
    <w:rsid w:val="61E7A06B"/>
    <w:rsid w:val="61FCD42F"/>
    <w:rsid w:val="6209EA41"/>
    <w:rsid w:val="6212A644"/>
    <w:rsid w:val="624CCC2F"/>
    <w:rsid w:val="626C7DF4"/>
    <w:rsid w:val="626E2885"/>
    <w:rsid w:val="629EC1F8"/>
    <w:rsid w:val="62DE3DA1"/>
    <w:rsid w:val="62DE6E12"/>
    <w:rsid w:val="62DF21EB"/>
    <w:rsid w:val="62DF9C06"/>
    <w:rsid w:val="62E9C32A"/>
    <w:rsid w:val="62EE307A"/>
    <w:rsid w:val="63100820"/>
    <w:rsid w:val="632E776B"/>
    <w:rsid w:val="635D8321"/>
    <w:rsid w:val="636EC51F"/>
    <w:rsid w:val="636EF62B"/>
    <w:rsid w:val="63915264"/>
    <w:rsid w:val="6393B412"/>
    <w:rsid w:val="63AD9066"/>
    <w:rsid w:val="63B09EE6"/>
    <w:rsid w:val="63C7FC27"/>
    <w:rsid w:val="63D6F068"/>
    <w:rsid w:val="63E7C340"/>
    <w:rsid w:val="63EC2FEB"/>
    <w:rsid w:val="63F0757F"/>
    <w:rsid w:val="63FE667C"/>
    <w:rsid w:val="63FF21A0"/>
    <w:rsid w:val="6420106C"/>
    <w:rsid w:val="6456D679"/>
    <w:rsid w:val="6457C4F4"/>
    <w:rsid w:val="645F2AE3"/>
    <w:rsid w:val="6488A241"/>
    <w:rsid w:val="64C0B98A"/>
    <w:rsid w:val="64C23585"/>
    <w:rsid w:val="64D0F476"/>
    <w:rsid w:val="650A0876"/>
    <w:rsid w:val="65170B3E"/>
    <w:rsid w:val="6521E45A"/>
    <w:rsid w:val="653C5C54"/>
    <w:rsid w:val="65781680"/>
    <w:rsid w:val="65E6FB2C"/>
    <w:rsid w:val="66322E2B"/>
    <w:rsid w:val="664E01C9"/>
    <w:rsid w:val="6658DD70"/>
    <w:rsid w:val="6676187C"/>
    <w:rsid w:val="66958A26"/>
    <w:rsid w:val="6699B845"/>
    <w:rsid w:val="66BFD894"/>
    <w:rsid w:val="66C0645B"/>
    <w:rsid w:val="66C59D16"/>
    <w:rsid w:val="66D5DF2C"/>
    <w:rsid w:val="66DEC687"/>
    <w:rsid w:val="66F6D5FF"/>
    <w:rsid w:val="67111EC6"/>
    <w:rsid w:val="6711264B"/>
    <w:rsid w:val="67154DA6"/>
    <w:rsid w:val="672FC50A"/>
    <w:rsid w:val="674B5E22"/>
    <w:rsid w:val="676E16BF"/>
    <w:rsid w:val="676ED657"/>
    <w:rsid w:val="677760AE"/>
    <w:rsid w:val="679250A4"/>
    <w:rsid w:val="67BF38FC"/>
    <w:rsid w:val="67C1EDD2"/>
    <w:rsid w:val="67C29155"/>
    <w:rsid w:val="67DE97D7"/>
    <w:rsid w:val="67FA8B31"/>
    <w:rsid w:val="6800B6C9"/>
    <w:rsid w:val="6829F1CE"/>
    <w:rsid w:val="68362E3C"/>
    <w:rsid w:val="68646C63"/>
    <w:rsid w:val="688B9415"/>
    <w:rsid w:val="68CF89E4"/>
    <w:rsid w:val="691F8DE0"/>
    <w:rsid w:val="6923CDC5"/>
    <w:rsid w:val="6926BAC2"/>
    <w:rsid w:val="69388233"/>
    <w:rsid w:val="695707EA"/>
    <w:rsid w:val="6967B685"/>
    <w:rsid w:val="69B32590"/>
    <w:rsid w:val="69E2B3CA"/>
    <w:rsid w:val="69EB2669"/>
    <w:rsid w:val="69F8E6B6"/>
    <w:rsid w:val="6A18FE96"/>
    <w:rsid w:val="6A2CF59F"/>
    <w:rsid w:val="6A38F6E3"/>
    <w:rsid w:val="6A5E43E8"/>
    <w:rsid w:val="6A97CA79"/>
    <w:rsid w:val="6AA22314"/>
    <w:rsid w:val="6AA6F07B"/>
    <w:rsid w:val="6ABE22E8"/>
    <w:rsid w:val="6AC28C13"/>
    <w:rsid w:val="6AC64FE9"/>
    <w:rsid w:val="6AFCB6CB"/>
    <w:rsid w:val="6B078496"/>
    <w:rsid w:val="6B48AA3B"/>
    <w:rsid w:val="6B4A1EE8"/>
    <w:rsid w:val="6B58A432"/>
    <w:rsid w:val="6BB33BD8"/>
    <w:rsid w:val="6BB844E8"/>
    <w:rsid w:val="6BBACE61"/>
    <w:rsid w:val="6BDAE165"/>
    <w:rsid w:val="6BEAC0CE"/>
    <w:rsid w:val="6BEE5993"/>
    <w:rsid w:val="6C1A67B8"/>
    <w:rsid w:val="6C22651F"/>
    <w:rsid w:val="6C249796"/>
    <w:rsid w:val="6C3C909C"/>
    <w:rsid w:val="6C4F4F01"/>
    <w:rsid w:val="6C5B4443"/>
    <w:rsid w:val="6C64654B"/>
    <w:rsid w:val="6CA438E9"/>
    <w:rsid w:val="6CD67D57"/>
    <w:rsid w:val="6CF5194E"/>
    <w:rsid w:val="6CF5DB0D"/>
    <w:rsid w:val="6D12C536"/>
    <w:rsid w:val="6D2B77AF"/>
    <w:rsid w:val="6D3AC7A4"/>
    <w:rsid w:val="6D3D4377"/>
    <w:rsid w:val="6D47669D"/>
    <w:rsid w:val="6D6A4F15"/>
    <w:rsid w:val="6D734E98"/>
    <w:rsid w:val="6D7F7BB9"/>
    <w:rsid w:val="6D80604A"/>
    <w:rsid w:val="6DB325E9"/>
    <w:rsid w:val="6DB86244"/>
    <w:rsid w:val="6DDCEBB7"/>
    <w:rsid w:val="6DDE2D0B"/>
    <w:rsid w:val="6DE29195"/>
    <w:rsid w:val="6DE646CB"/>
    <w:rsid w:val="6E12AD2D"/>
    <w:rsid w:val="6E15D665"/>
    <w:rsid w:val="6E1C424B"/>
    <w:rsid w:val="6E345895"/>
    <w:rsid w:val="6E38E9BD"/>
    <w:rsid w:val="6E39BF3F"/>
    <w:rsid w:val="6E466229"/>
    <w:rsid w:val="6E4DE0D7"/>
    <w:rsid w:val="6E60066A"/>
    <w:rsid w:val="6E69A147"/>
    <w:rsid w:val="6E69A61A"/>
    <w:rsid w:val="6EB02BFD"/>
    <w:rsid w:val="6EDA5328"/>
    <w:rsid w:val="6EDD7B12"/>
    <w:rsid w:val="6EE0E4B0"/>
    <w:rsid w:val="6EF65899"/>
    <w:rsid w:val="6F03A0ED"/>
    <w:rsid w:val="6F09235F"/>
    <w:rsid w:val="6F8BC63C"/>
    <w:rsid w:val="6F8E60FF"/>
    <w:rsid w:val="6FC1FF89"/>
    <w:rsid w:val="6FC8747D"/>
    <w:rsid w:val="6FCDCADE"/>
    <w:rsid w:val="70073B17"/>
    <w:rsid w:val="702A9A0C"/>
    <w:rsid w:val="707A6AF4"/>
    <w:rsid w:val="707CA40A"/>
    <w:rsid w:val="708C6C91"/>
    <w:rsid w:val="70957434"/>
    <w:rsid w:val="70E0886B"/>
    <w:rsid w:val="70ECE103"/>
    <w:rsid w:val="71160FBB"/>
    <w:rsid w:val="711A340B"/>
    <w:rsid w:val="712357C7"/>
    <w:rsid w:val="71270757"/>
    <w:rsid w:val="712FDCB7"/>
    <w:rsid w:val="71438507"/>
    <w:rsid w:val="7154CD62"/>
    <w:rsid w:val="715A77E8"/>
    <w:rsid w:val="7179AE95"/>
    <w:rsid w:val="719D8D1F"/>
    <w:rsid w:val="71C8ADCA"/>
    <w:rsid w:val="71CE25E8"/>
    <w:rsid w:val="71DE1266"/>
    <w:rsid w:val="71F4145A"/>
    <w:rsid w:val="71F85C85"/>
    <w:rsid w:val="72521E9E"/>
    <w:rsid w:val="72590FC0"/>
    <w:rsid w:val="725AF875"/>
    <w:rsid w:val="7274EE66"/>
    <w:rsid w:val="727F575C"/>
    <w:rsid w:val="72AD0616"/>
    <w:rsid w:val="72C42CBC"/>
    <w:rsid w:val="72C4D132"/>
    <w:rsid w:val="732E2A58"/>
    <w:rsid w:val="734B7400"/>
    <w:rsid w:val="735ABE87"/>
    <w:rsid w:val="73949DA5"/>
    <w:rsid w:val="73991DA7"/>
    <w:rsid w:val="739C7FAE"/>
    <w:rsid w:val="73A4778F"/>
    <w:rsid w:val="73AE02FD"/>
    <w:rsid w:val="73B1C4BF"/>
    <w:rsid w:val="73C898B2"/>
    <w:rsid w:val="73EAE709"/>
    <w:rsid w:val="73F49553"/>
    <w:rsid w:val="74333189"/>
    <w:rsid w:val="7456C457"/>
    <w:rsid w:val="745E4B61"/>
    <w:rsid w:val="7483020C"/>
    <w:rsid w:val="74A5219D"/>
    <w:rsid w:val="74A5505A"/>
    <w:rsid w:val="74B53813"/>
    <w:rsid w:val="74D3911F"/>
    <w:rsid w:val="74D61689"/>
    <w:rsid w:val="74E872DC"/>
    <w:rsid w:val="75114BF5"/>
    <w:rsid w:val="751B9EC4"/>
    <w:rsid w:val="756BC456"/>
    <w:rsid w:val="756BD251"/>
    <w:rsid w:val="7577145D"/>
    <w:rsid w:val="75A214D6"/>
    <w:rsid w:val="75B015E9"/>
    <w:rsid w:val="75B4931F"/>
    <w:rsid w:val="75DB22E1"/>
    <w:rsid w:val="75ED8B3D"/>
    <w:rsid w:val="7608A030"/>
    <w:rsid w:val="7621C243"/>
    <w:rsid w:val="7624F1E7"/>
    <w:rsid w:val="762853C0"/>
    <w:rsid w:val="7634EAA9"/>
    <w:rsid w:val="76454720"/>
    <w:rsid w:val="765D2CA2"/>
    <w:rsid w:val="767925BF"/>
    <w:rsid w:val="7684FB37"/>
    <w:rsid w:val="76EBC0D9"/>
    <w:rsid w:val="7705C8F4"/>
    <w:rsid w:val="77138AB3"/>
    <w:rsid w:val="7719F827"/>
    <w:rsid w:val="772262B8"/>
    <w:rsid w:val="77301D78"/>
    <w:rsid w:val="774E748F"/>
    <w:rsid w:val="77807177"/>
    <w:rsid w:val="779BEA42"/>
    <w:rsid w:val="77A8AAEA"/>
    <w:rsid w:val="77B641E1"/>
    <w:rsid w:val="77BD9E79"/>
    <w:rsid w:val="77DC3835"/>
    <w:rsid w:val="77EFBD1D"/>
    <w:rsid w:val="77F265F3"/>
    <w:rsid w:val="77FD96EE"/>
    <w:rsid w:val="78380CCC"/>
    <w:rsid w:val="785AC66C"/>
    <w:rsid w:val="7875E59E"/>
    <w:rsid w:val="787F3520"/>
    <w:rsid w:val="789B8DFC"/>
    <w:rsid w:val="78AE3BF2"/>
    <w:rsid w:val="78AE74D5"/>
    <w:rsid w:val="78CFFD30"/>
    <w:rsid w:val="79068D8D"/>
    <w:rsid w:val="79334113"/>
    <w:rsid w:val="7934E8DD"/>
    <w:rsid w:val="7963816D"/>
    <w:rsid w:val="7978625A"/>
    <w:rsid w:val="79AB0C35"/>
    <w:rsid w:val="79B6D5E4"/>
    <w:rsid w:val="79D78576"/>
    <w:rsid w:val="79DC7A69"/>
    <w:rsid w:val="79F304CB"/>
    <w:rsid w:val="7A1172A5"/>
    <w:rsid w:val="7A36675A"/>
    <w:rsid w:val="7A56D7CD"/>
    <w:rsid w:val="7A7DAB74"/>
    <w:rsid w:val="7A8B12CA"/>
    <w:rsid w:val="7A940FD1"/>
    <w:rsid w:val="7ABAAA86"/>
    <w:rsid w:val="7ACA1FAD"/>
    <w:rsid w:val="7AD04E97"/>
    <w:rsid w:val="7ADAEBC8"/>
    <w:rsid w:val="7B3E5956"/>
    <w:rsid w:val="7B8E3DF7"/>
    <w:rsid w:val="7B9A6699"/>
    <w:rsid w:val="7BA46876"/>
    <w:rsid w:val="7BB1FE37"/>
    <w:rsid w:val="7BCB8B3B"/>
    <w:rsid w:val="7BD3131F"/>
    <w:rsid w:val="7BF0E74B"/>
    <w:rsid w:val="7BF6F526"/>
    <w:rsid w:val="7C06891C"/>
    <w:rsid w:val="7C406219"/>
    <w:rsid w:val="7C4DE80B"/>
    <w:rsid w:val="7C5C92AD"/>
    <w:rsid w:val="7C7144C1"/>
    <w:rsid w:val="7C7EFBA9"/>
    <w:rsid w:val="7CBAEF98"/>
    <w:rsid w:val="7CBE9844"/>
    <w:rsid w:val="7CEE1F78"/>
    <w:rsid w:val="7CF8B03F"/>
    <w:rsid w:val="7D12A81F"/>
    <w:rsid w:val="7D1591F5"/>
    <w:rsid w:val="7D4DA3EA"/>
    <w:rsid w:val="7D6CED89"/>
    <w:rsid w:val="7D72D268"/>
    <w:rsid w:val="7DC39175"/>
    <w:rsid w:val="7DDA544E"/>
    <w:rsid w:val="7DE03916"/>
    <w:rsid w:val="7E239708"/>
    <w:rsid w:val="7E281135"/>
    <w:rsid w:val="7E297236"/>
    <w:rsid w:val="7E33AFB8"/>
    <w:rsid w:val="7E38FBA4"/>
    <w:rsid w:val="7E6377A4"/>
    <w:rsid w:val="7E67A9E2"/>
    <w:rsid w:val="7E74FF5A"/>
    <w:rsid w:val="7E7B34DE"/>
    <w:rsid w:val="7EA942A1"/>
    <w:rsid w:val="7EBACF6D"/>
    <w:rsid w:val="7EEA11B5"/>
    <w:rsid w:val="7EEB08AB"/>
    <w:rsid w:val="7EF682EA"/>
    <w:rsid w:val="7F1E2E8E"/>
    <w:rsid w:val="7F7D3928"/>
    <w:rsid w:val="7F7D62D3"/>
    <w:rsid w:val="7F7E4293"/>
    <w:rsid w:val="7F8BFBF6"/>
    <w:rsid w:val="7FA2861D"/>
    <w:rsid w:val="7FAD75CD"/>
    <w:rsid w:val="7FC302B3"/>
    <w:rsid w:val="7FC5E925"/>
    <w:rsid w:val="7FC612D0"/>
    <w:rsid w:val="7FD7632A"/>
    <w:rsid w:val="7FFC67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E1991"/>
  <w15:chartTrackingRefBased/>
  <w15:docId w15:val="{00B7372A-D012-43CA-B28F-921C760B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9A7"/>
    <w:rPr>
      <w:rFonts w:ascii="Arial" w:hAnsi="Arial" w:cs="Arial"/>
      <w:sz w:val="24"/>
    </w:rPr>
  </w:style>
  <w:style w:type="paragraph" w:styleId="Heading1">
    <w:name w:val="heading 1"/>
    <w:basedOn w:val="Normal"/>
    <w:next w:val="Normal"/>
    <w:qFormat/>
    <w:rsid w:val="006647A3"/>
    <w:pPr>
      <w:keepNext/>
      <w:spacing w:before="240" w:after="60"/>
      <w:outlineLvl w:val="0"/>
    </w:pPr>
    <w:rPr>
      <w:b/>
      <w:bCs/>
      <w:color w:val="006F51"/>
      <w:kern w:val="32"/>
      <w:sz w:val="32"/>
      <w:szCs w:val="32"/>
    </w:rPr>
  </w:style>
  <w:style w:type="paragraph" w:styleId="Heading2">
    <w:name w:val="heading 2"/>
    <w:basedOn w:val="Normal"/>
    <w:next w:val="Normal"/>
    <w:qFormat/>
    <w:rsid w:val="006647A3"/>
    <w:pPr>
      <w:keepNext/>
      <w:spacing w:before="240" w:after="60"/>
      <w:outlineLvl w:val="1"/>
    </w:pPr>
    <w:rPr>
      <w:bCs/>
      <w:iCs/>
      <w:color w:val="006F51"/>
      <w:sz w:val="28"/>
      <w:szCs w:val="28"/>
    </w:rPr>
  </w:style>
  <w:style w:type="paragraph" w:styleId="Heading3">
    <w:name w:val="heading 3"/>
    <w:basedOn w:val="Normal"/>
    <w:next w:val="Normal"/>
    <w:qFormat/>
    <w:rsid w:val="006647A3"/>
    <w:pPr>
      <w:keepNext/>
      <w:spacing w:before="240" w:after="60"/>
      <w:outlineLvl w:val="2"/>
    </w:pPr>
    <w:rPr>
      <w:bCs/>
      <w:color w:val="006F5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MHeading1">
    <w:name w:val="SCM Heading 1"/>
    <w:basedOn w:val="Heading1"/>
    <w:next w:val="Normal"/>
    <w:rsid w:val="006105CF"/>
    <w:pPr>
      <w:autoSpaceDE w:val="0"/>
      <w:autoSpaceDN w:val="0"/>
      <w:adjustRightInd w:val="0"/>
    </w:pPr>
    <w:rPr>
      <w:rFonts w:ascii="Arial,Bold" w:hAnsi="Arial,Bold" w:cs="Arial,Bold"/>
      <w:bCs w:val="0"/>
      <w:szCs w:val="24"/>
    </w:rPr>
  </w:style>
  <w:style w:type="paragraph" w:customStyle="1" w:styleId="SCMHeading2">
    <w:name w:val="SCM Heading 2"/>
    <w:basedOn w:val="Heading2"/>
    <w:next w:val="Normal"/>
    <w:rsid w:val="006105CF"/>
    <w:pPr>
      <w:autoSpaceDE w:val="0"/>
      <w:autoSpaceDN w:val="0"/>
      <w:adjustRightInd w:val="0"/>
    </w:pPr>
    <w:rPr>
      <w:rFonts w:ascii="Arial,Bold" w:hAnsi="Arial,Bold" w:cs="Arial,Bold"/>
      <w:bCs w:val="0"/>
      <w:i/>
      <w:szCs w:val="24"/>
    </w:rPr>
  </w:style>
  <w:style w:type="paragraph" w:customStyle="1" w:styleId="SCMHeading3">
    <w:name w:val="SCM Heading 3"/>
    <w:basedOn w:val="Heading3"/>
    <w:next w:val="Normal"/>
    <w:rsid w:val="006105CF"/>
    <w:pPr>
      <w:autoSpaceDE w:val="0"/>
      <w:autoSpaceDN w:val="0"/>
      <w:adjustRightInd w:val="0"/>
    </w:pPr>
    <w:rPr>
      <w:rFonts w:ascii="Arial,Bold" w:hAnsi="Arial,Bold" w:cs="Arial,Bold"/>
      <w:bCs w:val="0"/>
      <w:szCs w:val="24"/>
    </w:rPr>
  </w:style>
  <w:style w:type="table" w:styleId="TableGrid">
    <w:name w:val="Table Grid"/>
    <w:basedOn w:val="TableNormal"/>
    <w:rsid w:val="0016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35750"/>
    <w:rPr>
      <w:sz w:val="16"/>
      <w:szCs w:val="16"/>
    </w:rPr>
  </w:style>
  <w:style w:type="paragraph" w:styleId="CommentText">
    <w:name w:val="annotation text"/>
    <w:basedOn w:val="Normal"/>
    <w:link w:val="CommentTextChar"/>
    <w:rsid w:val="00935750"/>
    <w:rPr>
      <w:sz w:val="20"/>
    </w:rPr>
  </w:style>
  <w:style w:type="paragraph" w:styleId="CommentSubject">
    <w:name w:val="annotation subject"/>
    <w:basedOn w:val="CommentText"/>
    <w:next w:val="CommentText"/>
    <w:semiHidden/>
    <w:rsid w:val="00935750"/>
    <w:rPr>
      <w:b/>
      <w:bCs/>
    </w:rPr>
  </w:style>
  <w:style w:type="paragraph" w:styleId="BalloonText">
    <w:name w:val="Balloon Text"/>
    <w:basedOn w:val="Normal"/>
    <w:semiHidden/>
    <w:rsid w:val="00935750"/>
    <w:rPr>
      <w:rFonts w:ascii="Tahoma" w:hAnsi="Tahoma" w:cs="Tahoma"/>
      <w:sz w:val="16"/>
      <w:szCs w:val="16"/>
    </w:rPr>
  </w:style>
  <w:style w:type="character" w:styleId="PlaceholderText">
    <w:name w:val="Placeholder Text"/>
    <w:uiPriority w:val="99"/>
    <w:semiHidden/>
    <w:rsid w:val="00B71DA1"/>
    <w:rPr>
      <w:color w:val="808080"/>
    </w:rPr>
  </w:style>
  <w:style w:type="paragraph" w:styleId="Revision">
    <w:name w:val="Revision"/>
    <w:hidden/>
    <w:uiPriority w:val="99"/>
    <w:semiHidden/>
    <w:rsid w:val="00DF68E9"/>
    <w:rPr>
      <w:rFonts w:ascii="Arial" w:hAnsi="Arial" w:cs="Arial"/>
      <w:sz w:val="24"/>
    </w:rPr>
  </w:style>
  <w:style w:type="paragraph" w:styleId="FootnoteText">
    <w:name w:val="footnote text"/>
    <w:basedOn w:val="Normal"/>
    <w:link w:val="FootnoteTextChar"/>
    <w:rsid w:val="00B86759"/>
    <w:rPr>
      <w:rFonts w:eastAsia="SimSun" w:cs="Times New Roman"/>
      <w:sz w:val="16"/>
      <w:lang w:eastAsia="zh-CN"/>
    </w:rPr>
  </w:style>
  <w:style w:type="character" w:customStyle="1" w:styleId="FootnoteTextChar">
    <w:name w:val="Footnote Text Char"/>
    <w:basedOn w:val="DefaultParagraphFont"/>
    <w:link w:val="FootnoteText"/>
    <w:rsid w:val="00B86759"/>
    <w:rPr>
      <w:rFonts w:ascii="Arial" w:eastAsia="SimSun" w:hAnsi="Arial"/>
      <w:sz w:val="16"/>
      <w:lang w:eastAsia="zh-CN"/>
    </w:rPr>
  </w:style>
  <w:style w:type="character" w:styleId="FootnoteReference">
    <w:name w:val="footnote reference"/>
    <w:basedOn w:val="DefaultParagraphFont"/>
    <w:rsid w:val="00B86759"/>
    <w:rPr>
      <w:rFonts w:cs="Times New Roman"/>
      <w:sz w:val="22"/>
      <w:vertAlign w:val="superscript"/>
    </w:rPr>
  </w:style>
  <w:style w:type="paragraph" w:styleId="Header">
    <w:name w:val="header"/>
    <w:basedOn w:val="Normal"/>
    <w:link w:val="HeaderChar"/>
    <w:rsid w:val="00B86759"/>
    <w:pPr>
      <w:tabs>
        <w:tab w:val="center" w:pos="4513"/>
        <w:tab w:val="right" w:pos="9026"/>
      </w:tabs>
    </w:pPr>
  </w:style>
  <w:style w:type="character" w:customStyle="1" w:styleId="HeaderChar">
    <w:name w:val="Header Char"/>
    <w:basedOn w:val="DefaultParagraphFont"/>
    <w:link w:val="Header"/>
    <w:rsid w:val="00B86759"/>
    <w:rPr>
      <w:rFonts w:ascii="Arial" w:hAnsi="Arial" w:cs="Arial"/>
      <w:sz w:val="24"/>
    </w:rPr>
  </w:style>
  <w:style w:type="paragraph" w:styleId="Footer">
    <w:name w:val="footer"/>
    <w:basedOn w:val="Normal"/>
    <w:link w:val="FooterChar"/>
    <w:rsid w:val="00B86759"/>
    <w:pPr>
      <w:tabs>
        <w:tab w:val="center" w:pos="4513"/>
        <w:tab w:val="right" w:pos="9026"/>
      </w:tabs>
    </w:pPr>
  </w:style>
  <w:style w:type="character" w:customStyle="1" w:styleId="FooterChar">
    <w:name w:val="Footer Char"/>
    <w:basedOn w:val="DefaultParagraphFont"/>
    <w:link w:val="Footer"/>
    <w:rsid w:val="00B86759"/>
    <w:rPr>
      <w:rFonts w:ascii="Arial" w:hAnsi="Arial" w:cs="Arial"/>
      <w:sz w:val="24"/>
    </w:rPr>
  </w:style>
  <w:style w:type="paragraph" w:styleId="Caption">
    <w:name w:val="caption"/>
    <w:basedOn w:val="Normal"/>
    <w:next w:val="Normal"/>
    <w:unhideWhenUsed/>
    <w:qFormat/>
    <w:rsid w:val="002E63FC"/>
    <w:pPr>
      <w:spacing w:after="200"/>
    </w:pPr>
    <w:rPr>
      <w:rFonts w:cs="Times New Roman"/>
      <w:i/>
      <w:iCs/>
      <w:color w:val="44546A" w:themeColor="text2"/>
      <w:sz w:val="18"/>
      <w:szCs w:val="18"/>
      <w:lang w:eastAsia="en-US"/>
    </w:rPr>
  </w:style>
  <w:style w:type="character" w:styleId="UnresolvedMention">
    <w:name w:val="Unresolved Mention"/>
    <w:basedOn w:val="DefaultParagraphFont"/>
    <w:uiPriority w:val="99"/>
    <w:unhideWhenUsed/>
    <w:rsid w:val="00EA6997"/>
    <w:rPr>
      <w:color w:val="605E5C"/>
      <w:shd w:val="clear" w:color="auto" w:fill="E1DFDD"/>
    </w:rPr>
  </w:style>
  <w:style w:type="character" w:styleId="Mention">
    <w:name w:val="Mention"/>
    <w:basedOn w:val="DefaultParagraphFont"/>
    <w:uiPriority w:val="99"/>
    <w:unhideWhenUsed/>
    <w:rsid w:val="00EA6997"/>
    <w:rPr>
      <w:color w:val="2B579A"/>
      <w:shd w:val="clear" w:color="auto" w:fill="E1DFDD"/>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800355"/>
    <w:pPr>
      <w:ind w:left="720"/>
      <w:contextualSpacing/>
    </w:pPr>
    <w:rPr>
      <w:rFonts w:cs="Times New Roman"/>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800355"/>
    <w:rPr>
      <w:rFonts w:ascii="Arial" w:hAnsi="Arial"/>
      <w:sz w:val="24"/>
      <w:szCs w:val="24"/>
      <w:lang w:eastAsia="en-US"/>
    </w:rPr>
  </w:style>
  <w:style w:type="character" w:customStyle="1" w:styleId="CommentTextChar">
    <w:name w:val="Comment Text Char"/>
    <w:basedOn w:val="DefaultParagraphFont"/>
    <w:link w:val="CommentText"/>
    <w:rsid w:val="00E00A7A"/>
    <w:rPr>
      <w:rFonts w:ascii="Arial" w:hAnsi="Arial" w:cs="Arial"/>
    </w:rPr>
  </w:style>
  <w:style w:type="paragraph" w:customStyle="1" w:styleId="IAIOQ1">
    <w:name w:val="IAIOQ1"/>
    <w:basedOn w:val="Normal"/>
    <w:rsid w:val="00E00A7A"/>
    <w:pPr>
      <w:spacing w:before="50" w:after="50"/>
      <w:ind w:left="113" w:right="113"/>
    </w:pPr>
    <w:rPr>
      <w:rFonts w:eastAsia="SimSun" w:cs="Times New Roman"/>
      <w:b/>
      <w:color w:val="000000"/>
      <w:spacing w:val="-5"/>
      <w:sz w:val="20"/>
      <w:lang w:eastAsia="zh-CN"/>
    </w:rPr>
  </w:style>
  <w:style w:type="character" w:styleId="Hyperlink">
    <w:name w:val="Hyperlink"/>
    <w:basedOn w:val="DefaultParagraphFont"/>
    <w:uiPriority w:val="99"/>
    <w:rsid w:val="003E6486"/>
    <w:rPr>
      <w:rFonts w:cs="Times New Roman"/>
      <w:color w:val="auto"/>
      <w:u w:val="single"/>
    </w:rPr>
  </w:style>
  <w:style w:type="character" w:customStyle="1" w:styleId="normaltextrun">
    <w:name w:val="normaltextrun"/>
    <w:basedOn w:val="DefaultParagraphFont"/>
    <w:rsid w:val="00047BE9"/>
  </w:style>
  <w:style w:type="character" w:customStyle="1" w:styleId="eop">
    <w:name w:val="eop"/>
    <w:basedOn w:val="DefaultParagraphFont"/>
    <w:rsid w:val="00047BE9"/>
  </w:style>
  <w:style w:type="character" w:styleId="SubtleReference">
    <w:name w:val="Subtle Reference"/>
    <w:basedOn w:val="DefaultParagraphFont"/>
    <w:uiPriority w:val="31"/>
    <w:qFormat/>
    <w:rsid w:val="00047BE9"/>
    <w:rPr>
      <w:smallCaps/>
      <w:color w:val="5A5A5A" w:themeColor="text1" w:themeTint="A5"/>
    </w:rPr>
  </w:style>
  <w:style w:type="paragraph" w:customStyle="1" w:styleId="Colouredboxheadline">
    <w:name w:val="Coloured box headline"/>
    <w:basedOn w:val="Heading3"/>
    <w:link w:val="ColouredboxheadlineChar"/>
    <w:qFormat/>
    <w:rsid w:val="00047BE9"/>
    <w:pPr>
      <w:framePr w:hSpace="180" w:wrap="around" w:vAnchor="text" w:hAnchor="margin" w:y="17"/>
      <w:spacing w:before="120" w:after="240"/>
    </w:pPr>
    <w:rPr>
      <w:rFonts w:eastAsiaTheme="majorEastAsia" w:cs="Times New Roman"/>
      <w:sz w:val="28"/>
      <w:szCs w:val="28"/>
      <w:lang w:val="x-none" w:eastAsia="en-US"/>
    </w:rPr>
  </w:style>
  <w:style w:type="character" w:customStyle="1" w:styleId="ColouredboxheadlineChar">
    <w:name w:val="Coloured box headline Char"/>
    <w:basedOn w:val="DefaultParagraphFont"/>
    <w:link w:val="Colouredboxheadline"/>
    <w:rsid w:val="00047BE9"/>
    <w:rPr>
      <w:rFonts w:ascii="Arial" w:eastAsiaTheme="majorEastAsia" w:hAnsi="Arial"/>
      <w:b/>
      <w:bCs/>
      <w:sz w:val="28"/>
      <w:szCs w:val="28"/>
      <w:lang w:val="x-none" w:eastAsia="en-US"/>
    </w:rPr>
  </w:style>
  <w:style w:type="character" w:styleId="FollowedHyperlink">
    <w:name w:val="FollowedHyperlink"/>
    <w:basedOn w:val="DefaultParagraphFont"/>
    <w:rsid w:val="00BD6DF0"/>
    <w:rPr>
      <w:color w:val="954F72" w:themeColor="followedHyperlink"/>
      <w:u w:val="single"/>
    </w:rPr>
  </w:style>
  <w:style w:type="character" w:customStyle="1" w:styleId="cf01">
    <w:name w:val="cf01"/>
    <w:basedOn w:val="DefaultParagraphFont"/>
    <w:rsid w:val="000261E9"/>
    <w:rPr>
      <w:rFonts w:ascii="Segoe UI" w:hAnsi="Segoe UI" w:cs="Segoe UI" w:hint="default"/>
      <w:sz w:val="18"/>
      <w:szCs w:val="18"/>
    </w:rPr>
  </w:style>
  <w:style w:type="table" w:styleId="ListTable3-Accent6">
    <w:name w:val="List Table 3 Accent 6"/>
    <w:basedOn w:val="TableNormal"/>
    <w:uiPriority w:val="48"/>
    <w:rsid w:val="003279B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846101">
      <w:bodyDiv w:val="1"/>
      <w:marLeft w:val="0"/>
      <w:marRight w:val="0"/>
      <w:marTop w:val="0"/>
      <w:marBottom w:val="0"/>
      <w:divBdr>
        <w:top w:val="none" w:sz="0" w:space="0" w:color="auto"/>
        <w:left w:val="none" w:sz="0" w:space="0" w:color="auto"/>
        <w:bottom w:val="none" w:sz="0" w:space="0" w:color="auto"/>
        <w:right w:val="none" w:sz="0" w:space="0" w:color="auto"/>
      </w:divBdr>
    </w:div>
    <w:div w:id="2022782478">
      <w:bodyDiv w:val="1"/>
      <w:marLeft w:val="0"/>
      <w:marRight w:val="0"/>
      <w:marTop w:val="0"/>
      <w:marBottom w:val="0"/>
      <w:divBdr>
        <w:top w:val="none" w:sz="0" w:space="0" w:color="auto"/>
        <w:left w:val="none" w:sz="0" w:space="0" w:color="auto"/>
        <w:bottom w:val="none" w:sz="0" w:space="0" w:color="auto"/>
        <w:right w:val="none" w:sz="0" w:space="0" w:color="auto"/>
      </w:divBdr>
    </w:div>
    <w:div w:id="206054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od.gov.uk/business-guidance/food-hygiene-rating-scheme-online-display-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atings.foo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yan.peake-smith@food.gov.uk" TargetMode="External"/><Relationship Id="rId5" Type="http://schemas.openxmlformats.org/officeDocument/2006/relationships/numbering" Target="numbering.xml"/><Relationship Id="rId15" Type="http://schemas.openxmlformats.org/officeDocument/2006/relationships/hyperlink" Target="http://ratings.food.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atings.food.gov.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ood.gov.uk/sites/default/files/media/document/display-of-food-hygiene-ratings-in-england-northern-ireland-and-wales.pdf" TargetMode="External"/><Relationship Id="rId13" Type="http://schemas.openxmlformats.org/officeDocument/2006/relationships/hyperlink" Target="https://www.food.gov.uk/sites/default/files/media/document/Food%20and%20You%202%20-%20Wave%203%20Key%20Findings%20FINAL.pdf" TargetMode="External"/><Relationship Id="rId3" Type="http://schemas.openxmlformats.org/officeDocument/2006/relationships/hyperlink" Target="https://www.food.gov.uk/research/research-projects/understanding-northern-ireland-consumer-needs-around-food-hygiene-rating-scheme-fhrs-information-in-online-retail-environments" TargetMode="External"/><Relationship Id="rId7" Type="http://schemas.openxmlformats.org/officeDocument/2006/relationships/hyperlink" Target="https://assets.publishing.service.gov.uk/government/uploads/system/uploads/attachment_data/file/827926/RPC_short_guidance_note_-_Implementation_costs__August_2019.pdf" TargetMode="External"/><Relationship Id="rId12" Type="http://schemas.openxmlformats.org/officeDocument/2006/relationships/hyperlink" Target="https://www.food.gov.uk/sites/default/files/media/document/display-of-food-hygiene-ratings-in-england-northern-ireland-and-wales.pdf" TargetMode="External"/><Relationship Id="rId2" Type="http://schemas.openxmlformats.org/officeDocument/2006/relationships/hyperlink" Target="https://www.food.gov.uk/research/research-projects/evidence-of-relationship-between-food-business-hygiene-compliance-and-measures-of-food-safety" TargetMode="External"/><Relationship Id="rId1" Type="http://schemas.openxmlformats.org/officeDocument/2006/relationships/hyperlink" Target="https://www.food.gov.uk/sites/default/files/media/document/display-of-food-hygiene-ratings-in-england-northern-ireland-and-wales.pdf" TargetMode="External"/><Relationship Id="rId6" Type="http://schemas.openxmlformats.org/officeDocument/2006/relationships/hyperlink" Target="https://www.ons.gov.uk/employmentandlabourmarket/peopleinwork/earningsandworkinghours/datasets/ashe1997to2015selectedestimates" TargetMode="External"/><Relationship Id="rId11" Type="http://schemas.openxmlformats.org/officeDocument/2006/relationships/hyperlink" Target="https://www.food.gov.uk/sites/default/files/media/document/display-of-food-hygiene-ratings-in-england-northern-ireland-and-wales.pdf" TargetMode="External"/><Relationship Id="rId5" Type="http://schemas.openxmlformats.org/officeDocument/2006/relationships/hyperlink" Target="https://www.food.gov.uk/research/behaviour-and-perception/food-hygiene-rating-scheme-consumer-attitudes-tracker-wave-8" TargetMode="External"/><Relationship Id="rId10" Type="http://schemas.openxmlformats.org/officeDocument/2006/relationships/hyperlink" Target="https://www.ons.gov.uk/employmentandlabourmarket/peopleinwork/earningsandworkinghours/datasets/ashe1997to2015selectedestimates" TargetMode="External"/><Relationship Id="rId4" Type="http://schemas.openxmlformats.org/officeDocument/2006/relationships/hyperlink" Target="https://www.ibisworld.com/united-kingdom/market-size/online-food-ordering-delivery-platforms/" TargetMode="External"/><Relationship Id="rId9" Type="http://schemas.openxmlformats.org/officeDocument/2006/relationships/hyperlink" Target="https://www.ons.gov.uk/employmentandlabourmarket/peopleinwork/earningsandworkinghours/datasets/occupation4digitsoc2010ashetable1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Sheet1!$A$26</c:f>
              <c:strCache>
                <c:ptCount val="1"/>
                <c:pt idx="0">
                  <c:v>5 - Very good</c:v>
                </c:pt>
              </c:strCache>
            </c:strRef>
          </c:tx>
          <c:spPr>
            <a:solidFill>
              <a:schemeClr val="accent6"/>
            </a:solidFill>
            <a:ln>
              <a:noFill/>
            </a:ln>
            <a:effectLst/>
          </c:spPr>
          <c:invertIfNegative val="0"/>
          <c:cat>
            <c:numRef>
              <c:f>Sheet1!$B$25:$H$25</c:f>
              <c:numCache>
                <c:formatCode>General</c:formatCode>
                <c:ptCount val="7"/>
                <c:pt idx="0">
                  <c:v>2015</c:v>
                </c:pt>
                <c:pt idx="1">
                  <c:v>2016</c:v>
                </c:pt>
                <c:pt idx="2">
                  <c:v>2017</c:v>
                </c:pt>
                <c:pt idx="3">
                  <c:v>2018</c:v>
                </c:pt>
                <c:pt idx="4">
                  <c:v>2019</c:v>
                </c:pt>
                <c:pt idx="5">
                  <c:v>2020</c:v>
                </c:pt>
                <c:pt idx="6">
                  <c:v>2021</c:v>
                </c:pt>
              </c:numCache>
            </c:numRef>
          </c:cat>
          <c:val>
            <c:numRef>
              <c:f>Sheet1!$B$26:$H$26</c:f>
              <c:numCache>
                <c:formatCode>0.00%</c:formatCode>
                <c:ptCount val="7"/>
                <c:pt idx="0">
                  <c:v>0.64700000000000002</c:v>
                </c:pt>
                <c:pt idx="1">
                  <c:v>0.72399999999999998</c:v>
                </c:pt>
                <c:pt idx="2">
                  <c:v>0.75900000000000001</c:v>
                </c:pt>
                <c:pt idx="3">
                  <c:v>0.77400000000000002</c:v>
                </c:pt>
                <c:pt idx="4">
                  <c:v>0.79011925042589437</c:v>
                </c:pt>
                <c:pt idx="5">
                  <c:v>0.80931606148063628</c:v>
                </c:pt>
                <c:pt idx="6">
                  <c:v>0.83467043193633272</c:v>
                </c:pt>
              </c:numCache>
            </c:numRef>
          </c:val>
          <c:extLst>
            <c:ext xmlns:c16="http://schemas.microsoft.com/office/drawing/2014/chart" uri="{C3380CC4-5D6E-409C-BE32-E72D297353CC}">
              <c16:uniqueId val="{00000000-3F26-4C55-9BFF-6CC4FCDB7254}"/>
            </c:ext>
          </c:extLst>
        </c:ser>
        <c:ser>
          <c:idx val="1"/>
          <c:order val="1"/>
          <c:tx>
            <c:strRef>
              <c:f>Sheet1!$A$27</c:f>
              <c:strCache>
                <c:ptCount val="1"/>
                <c:pt idx="0">
                  <c:v>4 - Good</c:v>
                </c:pt>
              </c:strCache>
            </c:strRef>
          </c:tx>
          <c:spPr>
            <a:solidFill>
              <a:schemeClr val="accent5"/>
            </a:solidFill>
            <a:ln>
              <a:noFill/>
            </a:ln>
            <a:effectLst/>
          </c:spPr>
          <c:invertIfNegative val="0"/>
          <c:cat>
            <c:numRef>
              <c:f>Sheet1!$B$25:$H$25</c:f>
              <c:numCache>
                <c:formatCode>General</c:formatCode>
                <c:ptCount val="7"/>
                <c:pt idx="0">
                  <c:v>2015</c:v>
                </c:pt>
                <c:pt idx="1">
                  <c:v>2016</c:v>
                </c:pt>
                <c:pt idx="2">
                  <c:v>2017</c:v>
                </c:pt>
                <c:pt idx="3">
                  <c:v>2018</c:v>
                </c:pt>
                <c:pt idx="4">
                  <c:v>2019</c:v>
                </c:pt>
                <c:pt idx="5">
                  <c:v>2020</c:v>
                </c:pt>
                <c:pt idx="6">
                  <c:v>2021</c:v>
                </c:pt>
              </c:numCache>
            </c:numRef>
          </c:cat>
          <c:val>
            <c:numRef>
              <c:f>Sheet1!$B$27:$H$27</c:f>
              <c:numCache>
                <c:formatCode>0.00%</c:formatCode>
                <c:ptCount val="7"/>
                <c:pt idx="0">
                  <c:v>0.23599999999999999</c:v>
                </c:pt>
                <c:pt idx="1">
                  <c:v>0.2</c:v>
                </c:pt>
                <c:pt idx="2">
                  <c:v>0.17599999999999999</c:v>
                </c:pt>
                <c:pt idx="3">
                  <c:v>0.16700000000000001</c:v>
                </c:pt>
                <c:pt idx="4">
                  <c:v>0.15625212947189096</c:v>
                </c:pt>
                <c:pt idx="5">
                  <c:v>0.14531176589032821</c:v>
                </c:pt>
                <c:pt idx="6">
                  <c:v>0.12932417688209999</c:v>
                </c:pt>
              </c:numCache>
            </c:numRef>
          </c:val>
          <c:extLst>
            <c:ext xmlns:c16="http://schemas.microsoft.com/office/drawing/2014/chart" uri="{C3380CC4-5D6E-409C-BE32-E72D297353CC}">
              <c16:uniqueId val="{00000001-3F26-4C55-9BFF-6CC4FCDB7254}"/>
            </c:ext>
          </c:extLst>
        </c:ser>
        <c:ser>
          <c:idx val="2"/>
          <c:order val="2"/>
          <c:tx>
            <c:strRef>
              <c:f>Sheet1!$A$28</c:f>
              <c:strCache>
                <c:ptCount val="1"/>
                <c:pt idx="0">
                  <c:v>3 - Generally Satisfactory</c:v>
                </c:pt>
              </c:strCache>
            </c:strRef>
          </c:tx>
          <c:spPr>
            <a:solidFill>
              <a:schemeClr val="accent4"/>
            </a:solidFill>
            <a:ln>
              <a:noFill/>
            </a:ln>
            <a:effectLst/>
          </c:spPr>
          <c:invertIfNegative val="0"/>
          <c:cat>
            <c:numRef>
              <c:f>Sheet1!$B$25:$H$25</c:f>
              <c:numCache>
                <c:formatCode>General</c:formatCode>
                <c:ptCount val="7"/>
                <c:pt idx="0">
                  <c:v>2015</c:v>
                </c:pt>
                <c:pt idx="1">
                  <c:v>2016</c:v>
                </c:pt>
                <c:pt idx="2">
                  <c:v>2017</c:v>
                </c:pt>
                <c:pt idx="3">
                  <c:v>2018</c:v>
                </c:pt>
                <c:pt idx="4">
                  <c:v>2019</c:v>
                </c:pt>
                <c:pt idx="5">
                  <c:v>2020</c:v>
                </c:pt>
                <c:pt idx="6">
                  <c:v>2021</c:v>
                </c:pt>
              </c:numCache>
            </c:numRef>
          </c:cat>
          <c:val>
            <c:numRef>
              <c:f>Sheet1!$B$28:$H$28</c:f>
              <c:numCache>
                <c:formatCode>0.00%</c:formatCode>
                <c:ptCount val="7"/>
                <c:pt idx="0">
                  <c:v>8.7999999999999995E-2</c:v>
                </c:pt>
                <c:pt idx="1">
                  <c:v>6.3E-2</c:v>
                </c:pt>
                <c:pt idx="2">
                  <c:v>5.3999999999999999E-2</c:v>
                </c:pt>
                <c:pt idx="3">
                  <c:v>4.9000000000000002E-2</c:v>
                </c:pt>
                <c:pt idx="4">
                  <c:v>4.3679727427597959E-2</c:v>
                </c:pt>
                <c:pt idx="5">
                  <c:v>3.6579636217195788E-2</c:v>
                </c:pt>
                <c:pt idx="6">
                  <c:v>2.926641422245042E-2</c:v>
                </c:pt>
              </c:numCache>
            </c:numRef>
          </c:val>
          <c:extLst>
            <c:ext xmlns:c16="http://schemas.microsoft.com/office/drawing/2014/chart" uri="{C3380CC4-5D6E-409C-BE32-E72D297353CC}">
              <c16:uniqueId val="{00000002-3F26-4C55-9BFF-6CC4FCDB7254}"/>
            </c:ext>
          </c:extLst>
        </c:ser>
        <c:ser>
          <c:idx val="3"/>
          <c:order val="3"/>
          <c:tx>
            <c:strRef>
              <c:f>Sheet1!$A$29</c:f>
              <c:strCache>
                <c:ptCount val="1"/>
                <c:pt idx="0">
                  <c:v>2- Improvement Necessary</c:v>
                </c:pt>
              </c:strCache>
            </c:strRef>
          </c:tx>
          <c:spPr>
            <a:solidFill>
              <a:schemeClr val="accent6">
                <a:lumMod val="60000"/>
              </a:schemeClr>
            </a:solidFill>
            <a:ln>
              <a:noFill/>
            </a:ln>
            <a:effectLst/>
          </c:spPr>
          <c:invertIfNegative val="0"/>
          <c:cat>
            <c:numRef>
              <c:f>Sheet1!$B$25:$H$25</c:f>
              <c:numCache>
                <c:formatCode>General</c:formatCode>
                <c:ptCount val="7"/>
                <c:pt idx="0">
                  <c:v>2015</c:v>
                </c:pt>
                <c:pt idx="1">
                  <c:v>2016</c:v>
                </c:pt>
                <c:pt idx="2">
                  <c:v>2017</c:v>
                </c:pt>
                <c:pt idx="3">
                  <c:v>2018</c:v>
                </c:pt>
                <c:pt idx="4">
                  <c:v>2019</c:v>
                </c:pt>
                <c:pt idx="5">
                  <c:v>2020</c:v>
                </c:pt>
                <c:pt idx="6">
                  <c:v>2021</c:v>
                </c:pt>
              </c:numCache>
            </c:numRef>
          </c:cat>
          <c:val>
            <c:numRef>
              <c:f>Sheet1!$B$29:$H$29</c:f>
              <c:numCache>
                <c:formatCode>0.00%</c:formatCode>
                <c:ptCount val="7"/>
                <c:pt idx="0">
                  <c:v>1.7999999999999999E-2</c:v>
                </c:pt>
                <c:pt idx="1">
                  <c:v>8.0000000000000002E-3</c:v>
                </c:pt>
                <c:pt idx="2">
                  <c:v>8.0000000000000002E-3</c:v>
                </c:pt>
                <c:pt idx="3">
                  <c:v>8.0000000000000002E-3</c:v>
                </c:pt>
                <c:pt idx="4">
                  <c:v>6.405451448040886E-3</c:v>
                </c:pt>
                <c:pt idx="5">
                  <c:v>5.369487885092959E-3</c:v>
                </c:pt>
                <c:pt idx="6">
                  <c:v>3.465759578974392E-3</c:v>
                </c:pt>
              </c:numCache>
            </c:numRef>
          </c:val>
          <c:extLst>
            <c:ext xmlns:c16="http://schemas.microsoft.com/office/drawing/2014/chart" uri="{C3380CC4-5D6E-409C-BE32-E72D297353CC}">
              <c16:uniqueId val="{00000003-3F26-4C55-9BFF-6CC4FCDB7254}"/>
            </c:ext>
          </c:extLst>
        </c:ser>
        <c:ser>
          <c:idx val="4"/>
          <c:order val="4"/>
          <c:tx>
            <c:strRef>
              <c:f>Sheet1!$A$30</c:f>
              <c:strCache>
                <c:ptCount val="1"/>
                <c:pt idx="0">
                  <c:v>1 - Major Improvement Necessary</c:v>
                </c:pt>
              </c:strCache>
            </c:strRef>
          </c:tx>
          <c:spPr>
            <a:solidFill>
              <a:schemeClr val="accent5">
                <a:lumMod val="60000"/>
              </a:schemeClr>
            </a:solidFill>
            <a:ln>
              <a:noFill/>
            </a:ln>
            <a:effectLst/>
          </c:spPr>
          <c:invertIfNegative val="0"/>
          <c:cat>
            <c:numRef>
              <c:f>Sheet1!$B$25:$H$25</c:f>
              <c:numCache>
                <c:formatCode>General</c:formatCode>
                <c:ptCount val="7"/>
                <c:pt idx="0">
                  <c:v>2015</c:v>
                </c:pt>
                <c:pt idx="1">
                  <c:v>2016</c:v>
                </c:pt>
                <c:pt idx="2">
                  <c:v>2017</c:v>
                </c:pt>
                <c:pt idx="3">
                  <c:v>2018</c:v>
                </c:pt>
                <c:pt idx="4">
                  <c:v>2019</c:v>
                </c:pt>
                <c:pt idx="5">
                  <c:v>2020</c:v>
                </c:pt>
                <c:pt idx="6">
                  <c:v>2021</c:v>
                </c:pt>
              </c:numCache>
            </c:numRef>
          </c:cat>
          <c:val>
            <c:numRef>
              <c:f>Sheet1!$B$30:$H$30</c:f>
              <c:numCache>
                <c:formatCode>0.00%</c:formatCode>
                <c:ptCount val="7"/>
                <c:pt idx="0">
                  <c:v>1.0999999999999999E-2</c:v>
                </c:pt>
                <c:pt idx="1">
                  <c:v>4.0000000000000001E-3</c:v>
                </c:pt>
                <c:pt idx="2">
                  <c:v>4.0000000000000001E-3</c:v>
                </c:pt>
                <c:pt idx="3">
                  <c:v>4.0000000000000001E-3</c:v>
                </c:pt>
                <c:pt idx="4">
                  <c:v>3.4071550255536627E-3</c:v>
                </c:pt>
                <c:pt idx="5">
                  <c:v>3.4230485267467614E-3</c:v>
                </c:pt>
                <c:pt idx="6">
                  <c:v>3.2090366471985111E-3</c:v>
                </c:pt>
              </c:numCache>
            </c:numRef>
          </c:val>
          <c:extLst>
            <c:ext xmlns:c16="http://schemas.microsoft.com/office/drawing/2014/chart" uri="{C3380CC4-5D6E-409C-BE32-E72D297353CC}">
              <c16:uniqueId val="{00000004-3F26-4C55-9BFF-6CC4FCDB7254}"/>
            </c:ext>
          </c:extLst>
        </c:ser>
        <c:ser>
          <c:idx val="5"/>
          <c:order val="5"/>
          <c:tx>
            <c:strRef>
              <c:f>Sheet1!$A$31</c:f>
              <c:strCache>
                <c:ptCount val="1"/>
                <c:pt idx="0">
                  <c:v>0 - Urgent Improvement Necessary</c:v>
                </c:pt>
              </c:strCache>
            </c:strRef>
          </c:tx>
          <c:spPr>
            <a:solidFill>
              <a:schemeClr val="accent4">
                <a:lumMod val="60000"/>
              </a:schemeClr>
            </a:solidFill>
            <a:ln>
              <a:noFill/>
            </a:ln>
            <a:effectLst/>
          </c:spPr>
          <c:invertIfNegative val="0"/>
          <c:cat>
            <c:numRef>
              <c:f>Sheet1!$B$25:$H$25</c:f>
              <c:numCache>
                <c:formatCode>General</c:formatCode>
                <c:ptCount val="7"/>
                <c:pt idx="0">
                  <c:v>2015</c:v>
                </c:pt>
                <c:pt idx="1">
                  <c:v>2016</c:v>
                </c:pt>
                <c:pt idx="2">
                  <c:v>2017</c:v>
                </c:pt>
                <c:pt idx="3">
                  <c:v>2018</c:v>
                </c:pt>
                <c:pt idx="4">
                  <c:v>2019</c:v>
                </c:pt>
                <c:pt idx="5">
                  <c:v>2020</c:v>
                </c:pt>
                <c:pt idx="6">
                  <c:v>2021</c:v>
                </c:pt>
              </c:numCache>
            </c:numRef>
          </c:cat>
          <c:val>
            <c:numRef>
              <c:f>Sheet1!$B$31:$H$31</c:f>
              <c:numCache>
                <c:formatCode>0.00%</c:formatCode>
                <c:ptCount val="7"/>
                <c:pt idx="0">
                  <c:v>0</c:v>
                </c:pt>
                <c:pt idx="1">
                  <c:v>0</c:v>
                </c:pt>
                <c:pt idx="2">
                  <c:v>0</c:v>
                </c:pt>
                <c:pt idx="3">
                  <c:v>0</c:v>
                </c:pt>
                <c:pt idx="4">
                  <c:v>1.362862010221465E-4</c:v>
                </c:pt>
                <c:pt idx="5">
                  <c:v>0</c:v>
                </c:pt>
                <c:pt idx="6">
                  <c:v>6.4180732943970218E-5</c:v>
                </c:pt>
              </c:numCache>
            </c:numRef>
          </c:val>
          <c:extLst>
            <c:ext xmlns:c16="http://schemas.microsoft.com/office/drawing/2014/chart" uri="{C3380CC4-5D6E-409C-BE32-E72D297353CC}">
              <c16:uniqueId val="{00000005-3F26-4C55-9BFF-6CC4FCDB7254}"/>
            </c:ext>
          </c:extLst>
        </c:ser>
        <c:dLbls>
          <c:showLegendKey val="0"/>
          <c:showVal val="0"/>
          <c:showCatName val="0"/>
          <c:showSerName val="0"/>
          <c:showPercent val="0"/>
          <c:showBubbleSize val="0"/>
        </c:dLbls>
        <c:gapWidth val="219"/>
        <c:axId val="768503752"/>
        <c:axId val="768503096"/>
      </c:barChart>
      <c:catAx>
        <c:axId val="768503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768503096"/>
        <c:crosses val="autoZero"/>
        <c:auto val="1"/>
        <c:lblAlgn val="ctr"/>
        <c:lblOffset val="100"/>
        <c:noMultiLvlLbl val="0"/>
      </c:catAx>
      <c:valAx>
        <c:axId val="768503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GB" sz="1050"/>
                  <a:t>% of rated</a:t>
                </a:r>
                <a:r>
                  <a:rPr lang="en-GB" sz="1050" baseline="0"/>
                  <a:t> businesses</a:t>
                </a:r>
              </a:p>
              <a:p>
                <a:pPr>
                  <a:defRPr sz="1050"/>
                </a:pPr>
                <a:endParaRPr lang="en-GB" sz="1050"/>
              </a:p>
            </c:rich>
          </c:tx>
          <c:layout>
            <c:manualLayout>
              <c:xMode val="edge"/>
              <c:yMode val="edge"/>
              <c:x val="2.826366258673111E-2"/>
              <c:y val="0.22143805745718129"/>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68503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24D53BEF9F1438751CA680FF6372D" ma:contentTypeVersion="12" ma:contentTypeDescription="Create a new document." ma:contentTypeScope="" ma:versionID="a821b46fe634567fdc3f33429a0ba196">
  <xsd:schema xmlns:xsd="http://www.w3.org/2001/XMLSchema" xmlns:xs="http://www.w3.org/2001/XMLSchema" xmlns:p="http://schemas.microsoft.com/office/2006/metadata/properties" xmlns:ns2="fd1cbbcb-5ab2-44f9-bedd-ea7848f102f9" xmlns:ns3="5e5f5278-a585-421a-8655-802a7e650859" targetNamespace="http://schemas.microsoft.com/office/2006/metadata/properties" ma:root="true" ma:fieldsID="bb1accadc9ecca5b0b8d85fedb3859f1" ns2:_="" ns3:_="">
    <xsd:import namespace="fd1cbbcb-5ab2-44f9-bedd-ea7848f102f9"/>
    <xsd:import namespace="5e5f5278-a585-421a-8655-802a7e65085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cbbcb-5ab2-44f9-bedd-ea7848f10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5f5278-a585-421a-8655-802a7e6508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5f5278-a585-421a-8655-802a7e650859">
      <UserInfo>
        <DisplayName>Nicholas Daniel</DisplayName>
        <AccountId>21</AccountId>
        <AccountType/>
      </UserInfo>
      <UserInfo>
        <DisplayName>Chris Harvey</DisplayName>
        <AccountId>32</AccountId>
        <AccountType/>
      </UserInfo>
      <UserInfo>
        <DisplayName>Ryan Peake-Smith</DisplayName>
        <AccountId>271</AccountId>
        <AccountType/>
      </UserInfo>
      <UserInfo>
        <DisplayName>Una Campbell</DisplayName>
        <AccountId>443</AccountId>
        <AccountType/>
      </UserInfo>
      <UserInfo>
        <DisplayName>Tim Johnston</DisplayName>
        <AccountId>60</AccountId>
        <AccountType/>
      </UserInfo>
      <UserInfo>
        <DisplayName>Michelle Patel</DisplayName>
        <AccountId>39</AccountId>
        <AccountType/>
      </UserInfo>
      <UserInfo>
        <DisplayName>Louise Connolly</DisplayName>
        <AccountId>450</AccountId>
        <AccountType/>
      </UserInfo>
      <UserInfo>
        <DisplayName>Eirini Petratou</DisplayName>
        <AccountId>121</AccountId>
        <AccountType/>
      </UserInfo>
      <UserInfo>
        <DisplayName>Jesse Williams</DisplayName>
        <AccountId>135</AccountId>
        <AccountType/>
      </UserInfo>
      <UserInfo>
        <DisplayName>Jayne Griffiths</DisplayName>
        <AccountId>468</AccountId>
        <AccountType/>
      </UserInfo>
      <UserInfo>
        <DisplayName>Catriona Stewart</DisplayName>
        <AccountId>117</AccountId>
        <AccountType/>
      </UserInfo>
      <UserInfo>
        <DisplayName>Sarah Aza</DisplayName>
        <AccountId>99</AccountId>
        <AccountType/>
      </UserInfo>
      <UserInfo>
        <DisplayName>James Blackburn</DisplayName>
        <AccountId>469</AccountId>
        <AccountType/>
      </UserInfo>
      <UserInfo>
        <DisplayName>Michael Harding</DisplayName>
        <AccountId>470</AccountId>
        <AccountType/>
      </UserInfo>
      <UserInfo>
        <DisplayName>Claire Voller</DisplayName>
        <AccountId>112</AccountId>
        <AccountType/>
      </UserInfo>
      <UserInfo>
        <DisplayName>Annmarie Staunton</DisplayName>
        <AccountId>471</AccountId>
        <AccountType/>
      </UserInfo>
      <UserInfo>
        <DisplayName>Azeem Sabri</DisplayName>
        <AccountId>472</AccountId>
        <AccountType/>
      </UserInfo>
      <UserInfo>
        <DisplayName>Hardeep Kang</DisplayName>
        <AccountId>473</AccountId>
        <AccountType/>
      </UserInfo>
      <UserInfo>
        <DisplayName>Kathryn Baker</DisplayName>
        <AccountId>474</AccountId>
        <AccountType/>
      </UserInfo>
      <UserInfo>
        <DisplayName>Firth Piracha</DisplayName>
        <AccountId>486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48587-CEF1-4C1A-8C9B-6C54D3F92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cbbcb-5ab2-44f9-bedd-ea7848f102f9"/>
    <ds:schemaRef ds:uri="5e5f5278-a585-421a-8655-802a7e650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9E265-9747-470F-ADA9-43A624C0C1D4}">
  <ds:schemaRefs>
    <ds:schemaRef ds:uri="http://schemas.microsoft.com/office/2006/metadata/properties"/>
    <ds:schemaRef ds:uri="http://schemas.microsoft.com/office/infopath/2007/PartnerControls"/>
    <ds:schemaRef ds:uri="5e5f5278-a585-421a-8655-802a7e650859"/>
  </ds:schemaRefs>
</ds:datastoreItem>
</file>

<file path=customXml/itemProps3.xml><?xml version="1.0" encoding="utf-8"?>
<ds:datastoreItem xmlns:ds="http://schemas.openxmlformats.org/officeDocument/2006/customXml" ds:itemID="{B6527A59-FDED-4B18-83D2-8884A3F49382}">
  <ds:schemaRefs>
    <ds:schemaRef ds:uri="http://schemas.microsoft.com/sharepoint/v3/contenttype/forms"/>
  </ds:schemaRefs>
</ds:datastoreItem>
</file>

<file path=customXml/itemProps4.xml><?xml version="1.0" encoding="utf-8"?>
<ds:datastoreItem xmlns:ds="http://schemas.openxmlformats.org/officeDocument/2006/customXml" ds:itemID="{A21C5A40-4215-4019-B0BD-79FFF146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10477</Words>
  <Characters>59720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Title:</vt:lpstr>
    </vt:vector>
  </TitlesOfParts>
  <Company>N.I.C.S</Company>
  <LinksUpToDate>false</LinksUpToDate>
  <CharactersWithSpaces>70057</CharactersWithSpaces>
  <SharedDoc>false</SharedDoc>
  <HLinks>
    <vt:vector size="114" baseType="variant">
      <vt:variant>
        <vt:i4>1048662</vt:i4>
      </vt:variant>
      <vt:variant>
        <vt:i4>99</vt:i4>
      </vt:variant>
      <vt:variant>
        <vt:i4>0</vt:i4>
      </vt:variant>
      <vt:variant>
        <vt:i4>5</vt:i4>
      </vt:variant>
      <vt:variant>
        <vt:lpwstr>https://ratings.food.gov.uk/</vt:lpwstr>
      </vt:variant>
      <vt:variant>
        <vt:lpwstr/>
      </vt:variant>
      <vt:variant>
        <vt:i4>3997735</vt:i4>
      </vt:variant>
      <vt:variant>
        <vt:i4>96</vt:i4>
      </vt:variant>
      <vt:variant>
        <vt:i4>0</vt:i4>
      </vt:variant>
      <vt:variant>
        <vt:i4>5</vt:i4>
      </vt:variant>
      <vt:variant>
        <vt:lpwstr>http://ratings.food.gov.uk/</vt:lpwstr>
      </vt:variant>
      <vt:variant>
        <vt:lpwstr/>
      </vt:variant>
      <vt:variant>
        <vt:i4>3997735</vt:i4>
      </vt:variant>
      <vt:variant>
        <vt:i4>93</vt:i4>
      </vt:variant>
      <vt:variant>
        <vt:i4>0</vt:i4>
      </vt:variant>
      <vt:variant>
        <vt:i4>5</vt:i4>
      </vt:variant>
      <vt:variant>
        <vt:lpwstr>http://ratings.food.gov.uk/</vt:lpwstr>
      </vt:variant>
      <vt:variant>
        <vt:lpwstr/>
      </vt:variant>
      <vt:variant>
        <vt:i4>786521</vt:i4>
      </vt:variant>
      <vt:variant>
        <vt:i4>90</vt:i4>
      </vt:variant>
      <vt:variant>
        <vt:i4>0</vt:i4>
      </vt:variant>
      <vt:variant>
        <vt:i4>5</vt:i4>
      </vt:variant>
      <vt:variant>
        <vt:lpwstr>https://www.food.gov.uk/business-guidance/food-hygiene-rating-scheme-online-display-guidance</vt:lpwstr>
      </vt:variant>
      <vt:variant>
        <vt:lpwstr/>
      </vt:variant>
      <vt:variant>
        <vt:i4>4849725</vt:i4>
      </vt:variant>
      <vt:variant>
        <vt:i4>6</vt:i4>
      </vt:variant>
      <vt:variant>
        <vt:i4>0</vt:i4>
      </vt:variant>
      <vt:variant>
        <vt:i4>5</vt:i4>
      </vt:variant>
      <vt:variant>
        <vt:lpwstr>mailto:Ryan.peake-smith@food.gov.uk</vt:lpwstr>
      </vt:variant>
      <vt:variant>
        <vt:lpwstr/>
      </vt:variant>
      <vt:variant>
        <vt:i4>917597</vt:i4>
      </vt:variant>
      <vt:variant>
        <vt:i4>39</vt:i4>
      </vt:variant>
      <vt:variant>
        <vt:i4>0</vt:i4>
      </vt:variant>
      <vt:variant>
        <vt:i4>5</vt:i4>
      </vt:variant>
      <vt:variant>
        <vt:lpwstr>https://www.food.gov.uk/sites/default/files/media/document/Food and You 2 - Wave 3 Key Findings FINAL.pdf</vt:lpwstr>
      </vt:variant>
      <vt:variant>
        <vt:lpwstr/>
      </vt:variant>
      <vt:variant>
        <vt:i4>6225940</vt:i4>
      </vt:variant>
      <vt:variant>
        <vt:i4>36</vt:i4>
      </vt:variant>
      <vt:variant>
        <vt:i4>0</vt:i4>
      </vt:variant>
      <vt:variant>
        <vt:i4>5</vt:i4>
      </vt:variant>
      <vt:variant>
        <vt:lpwstr>https://www.food.gov.uk/sites/default/files/media/document/display-of-food-hygiene-ratings-in-england-northern-ireland-and-wales.pdf</vt:lpwstr>
      </vt:variant>
      <vt:variant>
        <vt:lpwstr/>
      </vt:variant>
      <vt:variant>
        <vt:i4>6225940</vt:i4>
      </vt:variant>
      <vt:variant>
        <vt:i4>33</vt:i4>
      </vt:variant>
      <vt:variant>
        <vt:i4>0</vt:i4>
      </vt:variant>
      <vt:variant>
        <vt:i4>5</vt:i4>
      </vt:variant>
      <vt:variant>
        <vt:lpwstr>https://www.food.gov.uk/sites/default/files/media/document/display-of-food-hygiene-ratings-in-england-northern-ireland-and-wales.pdf</vt:lpwstr>
      </vt:variant>
      <vt:variant>
        <vt:lpwstr/>
      </vt:variant>
      <vt:variant>
        <vt:i4>2818168</vt:i4>
      </vt:variant>
      <vt:variant>
        <vt:i4>30</vt:i4>
      </vt:variant>
      <vt:variant>
        <vt:i4>0</vt:i4>
      </vt:variant>
      <vt:variant>
        <vt:i4>5</vt:i4>
      </vt:variant>
      <vt:variant>
        <vt:lpwstr>https://www.ons.gov.uk/employmentandlabourmarket/peopleinwork/earningsandworkinghours/datasets/ashe1997to2015selectedestimates</vt:lpwstr>
      </vt:variant>
      <vt:variant>
        <vt:lpwstr/>
      </vt:variant>
      <vt:variant>
        <vt:i4>5636117</vt:i4>
      </vt:variant>
      <vt:variant>
        <vt:i4>27</vt:i4>
      </vt:variant>
      <vt:variant>
        <vt:i4>0</vt:i4>
      </vt:variant>
      <vt:variant>
        <vt:i4>5</vt:i4>
      </vt:variant>
      <vt:variant>
        <vt:lpwstr>https://www.ons.gov.uk/employmentandlabourmarket/peopleinwork/earningsandworkinghours/datasets/occupation4digitsoc2010ashetable14</vt:lpwstr>
      </vt:variant>
      <vt:variant>
        <vt:lpwstr/>
      </vt:variant>
      <vt:variant>
        <vt:i4>2818168</vt:i4>
      </vt:variant>
      <vt:variant>
        <vt:i4>24</vt:i4>
      </vt:variant>
      <vt:variant>
        <vt:i4>0</vt:i4>
      </vt:variant>
      <vt:variant>
        <vt:i4>5</vt:i4>
      </vt:variant>
      <vt:variant>
        <vt:lpwstr>https://www.ons.gov.uk/employmentandlabourmarket/peopleinwork/earningsandworkinghours/datasets/ashe1997to2015selectedestimates</vt:lpwstr>
      </vt:variant>
      <vt:variant>
        <vt:lpwstr/>
      </vt:variant>
      <vt:variant>
        <vt:i4>6225940</vt:i4>
      </vt:variant>
      <vt:variant>
        <vt:i4>21</vt:i4>
      </vt:variant>
      <vt:variant>
        <vt:i4>0</vt:i4>
      </vt:variant>
      <vt:variant>
        <vt:i4>5</vt:i4>
      </vt:variant>
      <vt:variant>
        <vt:lpwstr>https://www.food.gov.uk/sites/default/files/media/document/display-of-food-hygiene-ratings-in-england-northern-ireland-and-wales.pdf</vt:lpwstr>
      </vt:variant>
      <vt:variant>
        <vt:lpwstr/>
      </vt:variant>
      <vt:variant>
        <vt:i4>4456456</vt:i4>
      </vt:variant>
      <vt:variant>
        <vt:i4>18</vt:i4>
      </vt:variant>
      <vt:variant>
        <vt:i4>0</vt:i4>
      </vt:variant>
      <vt:variant>
        <vt:i4>5</vt:i4>
      </vt:variant>
      <vt:variant>
        <vt:lpwstr>https://assets.publishing.service.gov.uk/government/uploads/system/uploads/attachment_data/file/827926/RPC_short_guidance_note_-_Implementation_costs__August_2019.pdf</vt:lpwstr>
      </vt:variant>
      <vt:variant>
        <vt:lpwstr/>
      </vt:variant>
      <vt:variant>
        <vt:i4>2818168</vt:i4>
      </vt:variant>
      <vt:variant>
        <vt:i4>15</vt:i4>
      </vt:variant>
      <vt:variant>
        <vt:i4>0</vt:i4>
      </vt:variant>
      <vt:variant>
        <vt:i4>5</vt:i4>
      </vt:variant>
      <vt:variant>
        <vt:lpwstr>https://www.ons.gov.uk/employmentandlabourmarket/peopleinwork/earningsandworkinghours/datasets/ashe1997to2015selectedestimates</vt:lpwstr>
      </vt:variant>
      <vt:variant>
        <vt:lpwstr/>
      </vt:variant>
      <vt:variant>
        <vt:i4>7471216</vt:i4>
      </vt:variant>
      <vt:variant>
        <vt:i4>12</vt:i4>
      </vt:variant>
      <vt:variant>
        <vt:i4>0</vt:i4>
      </vt:variant>
      <vt:variant>
        <vt:i4>5</vt:i4>
      </vt:variant>
      <vt:variant>
        <vt:lpwstr>https://www.food.gov.uk/research/behaviour-and-perception/food-hygiene-rating-scheme-consumer-attitudes-tracker-wave-8</vt:lpwstr>
      </vt:variant>
      <vt:variant>
        <vt:lpwstr/>
      </vt:variant>
      <vt:variant>
        <vt:i4>655369</vt:i4>
      </vt:variant>
      <vt:variant>
        <vt:i4>9</vt:i4>
      </vt:variant>
      <vt:variant>
        <vt:i4>0</vt:i4>
      </vt:variant>
      <vt:variant>
        <vt:i4>5</vt:i4>
      </vt:variant>
      <vt:variant>
        <vt:lpwstr>https://www.ibisworld.com/united-kingdom/market-size/online-food-ordering-delivery-platforms/</vt:lpwstr>
      </vt:variant>
      <vt:variant>
        <vt:lpwstr/>
      </vt:variant>
      <vt:variant>
        <vt:i4>1704014</vt:i4>
      </vt:variant>
      <vt:variant>
        <vt:i4>6</vt:i4>
      </vt:variant>
      <vt:variant>
        <vt:i4>0</vt:i4>
      </vt:variant>
      <vt:variant>
        <vt:i4>5</vt:i4>
      </vt:variant>
      <vt:variant>
        <vt:lpwstr>https://www.food.gov.uk/research/research-projects/understanding-northern-ireland-consumer-needs-around-food-hygiene-rating-scheme-fhrs-information-in-online-retail-environments</vt:lpwstr>
      </vt:variant>
      <vt:variant>
        <vt:lpwstr/>
      </vt:variant>
      <vt:variant>
        <vt:i4>1179671</vt:i4>
      </vt:variant>
      <vt:variant>
        <vt:i4>3</vt:i4>
      </vt:variant>
      <vt:variant>
        <vt:i4>0</vt:i4>
      </vt:variant>
      <vt:variant>
        <vt:i4>5</vt:i4>
      </vt:variant>
      <vt:variant>
        <vt:lpwstr>https://www.food.gov.uk/research/research-projects/evidence-of-relationship-between-food-business-hygiene-compliance-and-measures-of-food-safety</vt:lpwstr>
      </vt:variant>
      <vt:variant>
        <vt:lpwstr/>
      </vt:variant>
      <vt:variant>
        <vt:i4>6225940</vt:i4>
      </vt:variant>
      <vt:variant>
        <vt:i4>0</vt:i4>
      </vt:variant>
      <vt:variant>
        <vt:i4>0</vt:i4>
      </vt:variant>
      <vt:variant>
        <vt:i4>5</vt:i4>
      </vt:variant>
      <vt:variant>
        <vt:lpwstr>https://www.food.gov.uk/sites/default/files/media/document/display-of-food-hygiene-ratings-in-england-northern-ireland-and-wales.pdf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Wai Kuen Mo</dc:creator>
  <cp:keywords/>
  <cp:lastModifiedBy>Laura McGlinn</cp:lastModifiedBy>
  <cp:revision>7</cp:revision>
  <cp:lastPrinted>2014-04-30T08:05:00Z</cp:lastPrinted>
  <dcterms:created xsi:type="dcterms:W3CDTF">2022-06-17T07:33:00Z</dcterms:created>
  <dcterms:modified xsi:type="dcterms:W3CDTF">2022-06-17T08:10:00Z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0x010100C5E24D53BEF9F1438751CA680FF6372D</vt:lpwstr>
  </property>
</Properties>
</file>