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FE90" w14:textId="77777777" w:rsidR="009A0FCA" w:rsidRPr="009A0FCA" w:rsidRDefault="007351C7" w:rsidP="007351C7">
      <w:r>
        <w:rPr>
          <w:noProof/>
        </w:rPr>
        <w:drawing>
          <wp:inline distT="0" distB="0" distL="0" distR="0" wp14:anchorId="0C2E65DD" wp14:editId="6B067BF1">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6D8BC2AF" w14:textId="4ECBAF64" w:rsidR="00D72F00" w:rsidRDefault="00B02BB2" w:rsidP="00D422BF">
      <w:pPr>
        <w:pStyle w:val="TitleText"/>
        <w:spacing w:before="120"/>
        <w:jc w:val="left"/>
        <w:rPr>
          <w:color w:val="006F51" w:themeColor="accent1"/>
        </w:rPr>
      </w:pPr>
      <w:bookmarkStart w:id="0" w:name="_Toc357771452"/>
      <w:bookmarkStart w:id="1" w:name="_Toc511906471"/>
      <w:bookmarkStart w:id="2" w:name="_Toc34638435"/>
      <w:bookmarkStart w:id="3" w:name="_Toc373392872"/>
      <w:bookmarkStart w:id="4" w:name="_Toc373392871"/>
      <w:r>
        <w:rPr>
          <w:color w:val="006F51" w:themeColor="accent1"/>
        </w:rPr>
        <w:t xml:space="preserve">Consultation on the </w:t>
      </w:r>
      <w:r w:rsidR="00D567D9">
        <w:rPr>
          <w:color w:val="006F51" w:themeColor="accent1"/>
        </w:rPr>
        <w:t>proposal to</w:t>
      </w:r>
      <w:r w:rsidR="00653837">
        <w:rPr>
          <w:color w:val="006F51" w:themeColor="accent1"/>
        </w:rPr>
        <w:t xml:space="preserve"> </w:t>
      </w:r>
      <w:r w:rsidR="00653837" w:rsidRPr="00285FBD">
        <w:rPr>
          <w:color w:val="006F51" w:themeColor="accent1"/>
        </w:rPr>
        <w:t>implement a</w:t>
      </w:r>
      <w:r w:rsidR="00F91BB5" w:rsidRPr="00285FBD">
        <w:rPr>
          <w:color w:val="006F51" w:themeColor="accent1"/>
        </w:rPr>
        <w:t xml:space="preserve"> ban</w:t>
      </w:r>
      <w:r w:rsidR="00F90340" w:rsidRPr="00285FBD">
        <w:rPr>
          <w:color w:val="006F51" w:themeColor="accent1"/>
        </w:rPr>
        <w:t xml:space="preserve"> on</w:t>
      </w:r>
      <w:r w:rsidR="00D567D9" w:rsidRPr="00285FBD">
        <w:rPr>
          <w:color w:val="006F51" w:themeColor="accent1"/>
        </w:rPr>
        <w:t xml:space="preserve"> </w:t>
      </w:r>
      <w:r w:rsidR="00054605" w:rsidRPr="00285FBD">
        <w:rPr>
          <w:color w:val="006F51" w:themeColor="accent1"/>
        </w:rPr>
        <w:t>the</w:t>
      </w:r>
      <w:r w:rsidRPr="00285FBD">
        <w:rPr>
          <w:color w:val="006F51" w:themeColor="accent1"/>
        </w:rPr>
        <w:t xml:space="preserve"> use of bisphenol A (BPA)</w:t>
      </w:r>
      <w:r>
        <w:rPr>
          <w:color w:val="006F51" w:themeColor="accent1"/>
        </w:rPr>
        <w:t xml:space="preserve"> and other </w:t>
      </w:r>
      <w:r w:rsidRPr="5001CB33">
        <w:rPr>
          <w:color w:val="006F51" w:themeColor="accent1"/>
        </w:rPr>
        <w:t>bisp</w:t>
      </w:r>
      <w:r w:rsidR="5B4D4BCB" w:rsidRPr="5001CB33">
        <w:rPr>
          <w:color w:val="006F51" w:themeColor="accent1"/>
        </w:rPr>
        <w:t>h</w:t>
      </w:r>
      <w:r w:rsidRPr="5001CB33">
        <w:rPr>
          <w:color w:val="006F51" w:themeColor="accent1"/>
        </w:rPr>
        <w:t>enols</w:t>
      </w:r>
      <w:r>
        <w:rPr>
          <w:color w:val="006F51" w:themeColor="accent1"/>
        </w:rPr>
        <w:t xml:space="preserve"> in Food Contact Materials.</w:t>
      </w:r>
    </w:p>
    <w:p w14:paraId="25B8B4C1" w14:textId="5727A80C" w:rsidR="00B02BB2" w:rsidRPr="000763E7" w:rsidRDefault="00B02BB2" w:rsidP="00B02BB2">
      <w:pPr>
        <w:rPr>
          <w:rStyle w:val="Heading1Char"/>
          <w:rFonts w:eastAsia="Arial" w:cs="Arial"/>
          <w:b w:val="0"/>
          <w:color w:val="auto"/>
          <w:sz w:val="24"/>
          <w:szCs w:val="24"/>
        </w:rPr>
      </w:pPr>
      <w:r w:rsidRPr="00BB62FA">
        <w:rPr>
          <w:rFonts w:cs="Arial"/>
        </w:rPr>
        <w:t>This</w:t>
      </w:r>
      <w:r w:rsidRPr="000763E7">
        <w:rPr>
          <w:rFonts w:cs="Arial"/>
        </w:rPr>
        <w:t xml:space="preserve"> consultation seeks views, comments and feedback</w:t>
      </w:r>
      <w:r w:rsidR="00B31A10">
        <w:rPr>
          <w:rFonts w:cs="Arial"/>
        </w:rPr>
        <w:t xml:space="preserve"> from </w:t>
      </w:r>
      <w:r w:rsidR="00666CB0">
        <w:rPr>
          <w:rFonts w:cs="Arial"/>
        </w:rPr>
        <w:t>stakeholders</w:t>
      </w:r>
      <w:r w:rsidRPr="000763E7">
        <w:rPr>
          <w:rFonts w:cs="Arial"/>
        </w:rPr>
        <w:t xml:space="preserve"> </w:t>
      </w:r>
      <w:r w:rsidR="0095311B">
        <w:rPr>
          <w:rFonts w:cs="Arial"/>
        </w:rPr>
        <w:t xml:space="preserve">on </w:t>
      </w:r>
      <w:r w:rsidR="002A0175">
        <w:rPr>
          <w:rFonts w:cs="Arial"/>
        </w:rPr>
        <w:t xml:space="preserve">our proposal to </w:t>
      </w:r>
      <w:r w:rsidR="00560144">
        <w:rPr>
          <w:rFonts w:cs="Arial"/>
        </w:rPr>
        <w:t xml:space="preserve">implement </w:t>
      </w:r>
      <w:r w:rsidR="0085573B">
        <w:rPr>
          <w:rFonts w:cs="Arial"/>
        </w:rPr>
        <w:t xml:space="preserve">a </w:t>
      </w:r>
      <w:r w:rsidR="002A0175">
        <w:rPr>
          <w:rFonts w:cs="Arial"/>
        </w:rPr>
        <w:t xml:space="preserve">ban </w:t>
      </w:r>
      <w:r w:rsidR="00E85238">
        <w:rPr>
          <w:rFonts w:cs="Arial"/>
        </w:rPr>
        <w:t xml:space="preserve">on </w:t>
      </w:r>
      <w:r w:rsidR="002A0175">
        <w:rPr>
          <w:rFonts w:cs="Arial"/>
        </w:rPr>
        <w:t xml:space="preserve">the </w:t>
      </w:r>
      <w:r w:rsidR="00AC43A8">
        <w:rPr>
          <w:rFonts w:cs="Arial"/>
        </w:rPr>
        <w:t>use of bisphenol A (BPA</w:t>
      </w:r>
      <w:r w:rsidR="002272C8">
        <w:rPr>
          <w:rFonts w:cs="Arial"/>
        </w:rPr>
        <w:t>)</w:t>
      </w:r>
      <w:r w:rsidR="00AC43A8">
        <w:rPr>
          <w:rFonts w:cs="Arial"/>
        </w:rPr>
        <w:t xml:space="preserve"> and other bisphenols in food contact materials</w:t>
      </w:r>
      <w:r w:rsidR="00F958DB">
        <w:rPr>
          <w:rFonts w:cs="Arial"/>
        </w:rPr>
        <w:t xml:space="preserve"> (FCMs)</w:t>
      </w:r>
      <w:r w:rsidRPr="000763E7">
        <w:rPr>
          <w:rFonts w:cs="Arial"/>
        </w:rPr>
        <w:t>.</w:t>
      </w:r>
      <w:r w:rsidR="3CE4F2FD" w:rsidRPr="522FD9A7">
        <w:rPr>
          <w:rFonts w:cs="Arial"/>
        </w:rPr>
        <w:t xml:space="preserve"> </w:t>
      </w:r>
      <w:r w:rsidR="00AF0DD3">
        <w:rPr>
          <w:rFonts w:cs="Arial"/>
        </w:rPr>
        <w:t xml:space="preserve">The responses received will </w:t>
      </w:r>
      <w:r w:rsidR="00E7550F">
        <w:rPr>
          <w:rFonts w:cs="Arial"/>
        </w:rPr>
        <w:t>provide evidence</w:t>
      </w:r>
      <w:r w:rsidR="00130600">
        <w:rPr>
          <w:rFonts w:cs="Arial"/>
        </w:rPr>
        <w:t xml:space="preserve"> that will be used to seek </w:t>
      </w:r>
      <w:r w:rsidR="00675DB3">
        <w:rPr>
          <w:rFonts w:cs="Arial"/>
        </w:rPr>
        <w:t xml:space="preserve">a formal decision on the status </w:t>
      </w:r>
      <w:r w:rsidR="49A79416" w:rsidRPr="228202D3">
        <w:rPr>
          <w:rFonts w:cs="Arial"/>
        </w:rPr>
        <w:t xml:space="preserve">and use </w:t>
      </w:r>
      <w:r w:rsidR="00675DB3">
        <w:rPr>
          <w:rFonts w:cs="Arial"/>
        </w:rPr>
        <w:t>of BPA</w:t>
      </w:r>
      <w:r w:rsidR="00695C3C">
        <w:rPr>
          <w:rFonts w:cs="Arial"/>
        </w:rPr>
        <w:t xml:space="preserve"> and its analogues</w:t>
      </w:r>
      <w:r w:rsidR="70310FEC" w:rsidRPr="228202D3">
        <w:rPr>
          <w:rFonts w:cs="Arial"/>
        </w:rPr>
        <w:t xml:space="preserve"> in FCMs</w:t>
      </w:r>
      <w:r w:rsidR="00F4092A">
        <w:rPr>
          <w:rFonts w:cs="Arial"/>
        </w:rPr>
        <w:t>.</w:t>
      </w:r>
    </w:p>
    <w:p w14:paraId="39FB0949" w14:textId="29B8993D" w:rsidR="00D72F00" w:rsidRPr="002E503D" w:rsidRDefault="00D72F00" w:rsidP="00DA24EE">
      <w:pPr>
        <w:pStyle w:val="SubtitleText"/>
      </w:pPr>
      <w:r w:rsidRPr="002E503D">
        <w:t>Launch date:</w:t>
      </w:r>
      <w:r w:rsidR="2F91925D">
        <w:t xml:space="preserve"> </w:t>
      </w:r>
      <w:r w:rsidRPr="002E503D">
        <w:t xml:space="preserve"> </w:t>
      </w:r>
      <w:r w:rsidR="002F56F3">
        <w:t>2</w:t>
      </w:r>
      <w:r w:rsidR="006B1D7A">
        <w:t xml:space="preserve"> </w:t>
      </w:r>
      <w:r w:rsidR="002F56F3">
        <w:t>October</w:t>
      </w:r>
      <w:r w:rsidR="00E31630">
        <w:t xml:space="preserve"> 2025</w:t>
      </w:r>
    </w:p>
    <w:p w14:paraId="6E9FFFB2" w14:textId="4B4E6E8D" w:rsidR="00D72F00" w:rsidRPr="00DA24EE" w:rsidRDefault="00D72F00" w:rsidP="00DA24EE">
      <w:pPr>
        <w:pStyle w:val="SubtitleText"/>
      </w:pPr>
      <w:r w:rsidRPr="00DA24EE">
        <w:t>Respond by:</w:t>
      </w:r>
      <w:r w:rsidR="5EE7DA5E">
        <w:t xml:space="preserve"> </w:t>
      </w:r>
      <w:r w:rsidRPr="00DA24EE">
        <w:t xml:space="preserve"> </w:t>
      </w:r>
      <w:r w:rsidR="00E31630">
        <w:t xml:space="preserve"> </w:t>
      </w:r>
      <w:r w:rsidR="00085290">
        <w:t>24</w:t>
      </w:r>
      <w:r w:rsidR="00191B79">
        <w:t xml:space="preserve"> </w:t>
      </w:r>
      <w:r w:rsidR="00E31630">
        <w:t>December 2025</w:t>
      </w:r>
    </w:p>
    <w:p w14:paraId="0B214920" w14:textId="77777777" w:rsidR="000A111A" w:rsidRPr="007351C7" w:rsidRDefault="000A111A" w:rsidP="007351C7">
      <w:pPr>
        <w:pStyle w:val="Heading1"/>
        <w:pageBreakBefore w:val="0"/>
      </w:pPr>
      <w:bookmarkStart w:id="5" w:name="_Toc203989154"/>
      <w:bookmarkStart w:id="6" w:name="_Toc203989220"/>
      <w:bookmarkStart w:id="7" w:name="_Toc204682379"/>
      <w:bookmarkStart w:id="8" w:name="_Toc206142634"/>
      <w:bookmarkStart w:id="9" w:name="_Toc206143590"/>
      <w:bookmarkStart w:id="10" w:name="_Toc209165891"/>
      <w:bookmarkStart w:id="11" w:name="_Toc210141707"/>
      <w:r w:rsidRPr="007351C7">
        <w:t xml:space="preserve">This consultation </w:t>
      </w:r>
      <w:r w:rsidR="008C6301">
        <w:t xml:space="preserve">will </w:t>
      </w:r>
      <w:r w:rsidRPr="007351C7">
        <w:t>be of most interest to</w:t>
      </w:r>
      <w:bookmarkEnd w:id="5"/>
      <w:bookmarkEnd w:id="6"/>
      <w:bookmarkEnd w:id="7"/>
      <w:bookmarkEnd w:id="8"/>
      <w:bookmarkEnd w:id="9"/>
      <w:bookmarkEnd w:id="10"/>
      <w:bookmarkEnd w:id="11"/>
    </w:p>
    <w:p w14:paraId="16FF150A" w14:textId="188684C8" w:rsidR="00B02BB2" w:rsidRPr="000763E7" w:rsidRDefault="00B02BB2" w:rsidP="00B02BB2">
      <w:pPr>
        <w:rPr>
          <w:rFonts w:eastAsiaTheme="minorEastAsia" w:cs="Arial"/>
        </w:rPr>
      </w:pPr>
      <w:bookmarkStart w:id="12" w:name="_Toc34638437"/>
      <w:bookmarkEnd w:id="0"/>
      <w:bookmarkEnd w:id="1"/>
      <w:bookmarkEnd w:id="2"/>
      <w:r w:rsidRPr="000763E7">
        <w:rPr>
          <w:rFonts w:eastAsiaTheme="minorEastAsia" w:cs="Arial"/>
        </w:rPr>
        <w:t xml:space="preserve">All England, Wales, </w:t>
      </w:r>
      <w:r w:rsidR="00056FA4">
        <w:rPr>
          <w:rFonts w:eastAsiaTheme="minorEastAsia" w:cs="Arial"/>
        </w:rPr>
        <w:t xml:space="preserve">and </w:t>
      </w:r>
      <w:r w:rsidRPr="000763E7">
        <w:rPr>
          <w:rFonts w:eastAsiaTheme="minorEastAsia" w:cs="Arial"/>
        </w:rPr>
        <w:t xml:space="preserve">Northern Ireland food businesses, local and port health authorities, district councils, </w:t>
      </w:r>
      <w:r w:rsidR="00085085">
        <w:rPr>
          <w:rFonts w:eastAsiaTheme="minorEastAsia" w:cs="Arial"/>
        </w:rPr>
        <w:t>food and packaging manufacturers</w:t>
      </w:r>
      <w:r w:rsidR="000A5AE6">
        <w:rPr>
          <w:rFonts w:eastAsiaTheme="minorEastAsia" w:cs="Arial"/>
        </w:rPr>
        <w:t xml:space="preserve">, </w:t>
      </w:r>
      <w:r w:rsidR="30CC31EF" w:rsidRPr="28A11397">
        <w:rPr>
          <w:rFonts w:eastAsiaTheme="minorEastAsia" w:cs="Arial"/>
        </w:rPr>
        <w:t>r</w:t>
      </w:r>
      <w:r w:rsidR="000A5AE6">
        <w:rPr>
          <w:rFonts w:eastAsiaTheme="minorEastAsia" w:cs="Arial"/>
        </w:rPr>
        <w:t xml:space="preserve">etailers and distributors, </w:t>
      </w:r>
      <w:r w:rsidR="2861B07E" w:rsidRPr="28A11397">
        <w:rPr>
          <w:rFonts w:eastAsiaTheme="minorEastAsia" w:cs="Arial"/>
        </w:rPr>
        <w:t xml:space="preserve">importers and exporters, </w:t>
      </w:r>
      <w:r w:rsidR="000A5AE6">
        <w:rPr>
          <w:rFonts w:eastAsiaTheme="minorEastAsia" w:cs="Arial"/>
        </w:rPr>
        <w:t xml:space="preserve">consumer safety and </w:t>
      </w:r>
      <w:r w:rsidR="00EC0249" w:rsidRPr="19723A82">
        <w:rPr>
          <w:rFonts w:eastAsiaTheme="minorEastAsia" w:cs="Arial"/>
        </w:rPr>
        <w:t>hea</w:t>
      </w:r>
      <w:r w:rsidR="1F960D20" w:rsidRPr="19723A82">
        <w:rPr>
          <w:rFonts w:eastAsiaTheme="minorEastAsia" w:cs="Arial"/>
        </w:rPr>
        <w:t>l</w:t>
      </w:r>
      <w:r w:rsidR="00EC0249" w:rsidRPr="19723A82">
        <w:rPr>
          <w:rFonts w:eastAsiaTheme="minorEastAsia" w:cs="Arial"/>
        </w:rPr>
        <w:t>th</w:t>
      </w:r>
      <w:r w:rsidR="00EC0249">
        <w:rPr>
          <w:rFonts w:eastAsiaTheme="minorEastAsia" w:cs="Arial"/>
        </w:rPr>
        <w:t xml:space="preserve"> </w:t>
      </w:r>
      <w:r w:rsidR="723CB99B" w:rsidRPr="28A11397">
        <w:rPr>
          <w:rFonts w:eastAsiaTheme="minorEastAsia" w:cs="Arial"/>
        </w:rPr>
        <w:t>advocacy</w:t>
      </w:r>
      <w:r w:rsidR="00EC0249">
        <w:rPr>
          <w:rFonts w:eastAsiaTheme="minorEastAsia" w:cs="Arial"/>
        </w:rPr>
        <w:t xml:space="preserve"> groups, scientific and academic experts</w:t>
      </w:r>
      <w:r w:rsidR="5D41A230" w:rsidRPr="28A11397">
        <w:rPr>
          <w:rFonts w:eastAsiaTheme="minorEastAsia" w:cs="Arial"/>
        </w:rPr>
        <w:t>,</w:t>
      </w:r>
      <w:r w:rsidR="002038EB">
        <w:rPr>
          <w:rFonts w:eastAsiaTheme="minorEastAsia" w:cs="Arial"/>
        </w:rPr>
        <w:t xml:space="preserve"> </w:t>
      </w:r>
      <w:r w:rsidRPr="000763E7">
        <w:rPr>
          <w:rFonts w:eastAsiaTheme="minorEastAsia" w:cs="Arial"/>
        </w:rPr>
        <w:t xml:space="preserve">and </w:t>
      </w:r>
      <w:r w:rsidR="002038EB">
        <w:rPr>
          <w:rFonts w:eastAsiaTheme="minorEastAsia" w:cs="Arial"/>
        </w:rPr>
        <w:t>the general public</w:t>
      </w:r>
      <w:r w:rsidRPr="000763E7">
        <w:rPr>
          <w:rFonts w:eastAsiaTheme="minorEastAsia" w:cs="Arial"/>
        </w:rPr>
        <w:t xml:space="preserve">. </w:t>
      </w:r>
    </w:p>
    <w:p w14:paraId="52D6CDE4" w14:textId="77777777" w:rsidR="00A91D33" w:rsidRDefault="00A91D33" w:rsidP="002E503D">
      <w:pPr>
        <w:pStyle w:val="Heading2"/>
      </w:pPr>
      <w:bookmarkStart w:id="13" w:name="_Toc203989155"/>
      <w:bookmarkStart w:id="14" w:name="_Toc203989221"/>
      <w:bookmarkStart w:id="15" w:name="_Toc204682380"/>
      <w:bookmarkStart w:id="16" w:name="_Toc206142635"/>
      <w:bookmarkStart w:id="17" w:name="_Toc206143591"/>
      <w:bookmarkStart w:id="18" w:name="_Toc210141708"/>
      <w:r>
        <w:t>Purpose of the consultation</w:t>
      </w:r>
      <w:bookmarkEnd w:id="12"/>
      <w:bookmarkEnd w:id="13"/>
      <w:bookmarkEnd w:id="14"/>
      <w:bookmarkEnd w:id="15"/>
      <w:bookmarkEnd w:id="16"/>
      <w:bookmarkEnd w:id="17"/>
      <w:bookmarkEnd w:id="18"/>
    </w:p>
    <w:p w14:paraId="3CE5E7A7" w14:textId="74462351" w:rsidR="00F058AE" w:rsidRDefault="00786CF8" w:rsidP="00B06C92">
      <w:pPr>
        <w:rPr>
          <w:rFonts w:eastAsiaTheme="minorEastAsia"/>
        </w:rPr>
      </w:pPr>
      <w:r w:rsidRPr="00B06C92">
        <w:rPr>
          <w:rFonts w:eastAsiaTheme="minorEastAsia"/>
        </w:rPr>
        <w:t>The purpose of this consultation is to</w:t>
      </w:r>
      <w:r w:rsidR="00A14E0B">
        <w:rPr>
          <w:rFonts w:eastAsiaTheme="minorEastAsia"/>
        </w:rPr>
        <w:t xml:space="preserve"> seek</w:t>
      </w:r>
      <w:r w:rsidR="00C2152E">
        <w:rPr>
          <w:rFonts w:eastAsiaTheme="minorEastAsia"/>
        </w:rPr>
        <w:t xml:space="preserve"> views</w:t>
      </w:r>
      <w:r w:rsidR="00FC1EEE">
        <w:rPr>
          <w:rFonts w:eastAsiaTheme="minorEastAsia"/>
        </w:rPr>
        <w:t xml:space="preserve"> on the proposed</w:t>
      </w:r>
      <w:r w:rsidRPr="00B06C92">
        <w:rPr>
          <w:rFonts w:eastAsiaTheme="minorEastAsia"/>
        </w:rPr>
        <w:t xml:space="preserve"> implementation of a ban on </w:t>
      </w:r>
      <w:r w:rsidR="00B30AA0">
        <w:rPr>
          <w:rFonts w:eastAsiaTheme="minorEastAsia"/>
        </w:rPr>
        <w:t>b</w:t>
      </w:r>
      <w:r w:rsidRPr="00B06C92">
        <w:rPr>
          <w:rFonts w:eastAsiaTheme="minorEastAsia"/>
        </w:rPr>
        <w:t xml:space="preserve">isphenol A (BPA), </w:t>
      </w:r>
      <w:r w:rsidR="006048C4" w:rsidRPr="00B06C92">
        <w:rPr>
          <w:rFonts w:eastAsiaTheme="minorEastAsia"/>
        </w:rPr>
        <w:t>other bisphenols</w:t>
      </w:r>
      <w:r w:rsidRPr="00B06C92">
        <w:rPr>
          <w:rFonts w:eastAsiaTheme="minorEastAsia"/>
        </w:rPr>
        <w:t>, and derivatives in food contact materials. This consultation is not intended to revisit the scientific consensus on BPA’s risks, but to gather any robust, peer-reviewed evidence that may justify an alternative approach</w:t>
      </w:r>
      <w:r w:rsidR="00861CFD">
        <w:rPr>
          <w:rFonts w:eastAsiaTheme="minorEastAsia"/>
        </w:rPr>
        <w:t xml:space="preserve"> for BPA </w:t>
      </w:r>
      <w:r w:rsidR="6311B537" w:rsidRPr="522FD9A7">
        <w:rPr>
          <w:rFonts w:eastAsiaTheme="minorEastAsia"/>
        </w:rPr>
        <w:t xml:space="preserve">and its </w:t>
      </w:r>
      <w:r w:rsidR="00861CFD">
        <w:rPr>
          <w:rFonts w:eastAsiaTheme="minorEastAsia"/>
        </w:rPr>
        <w:t>analogues</w:t>
      </w:r>
      <w:r w:rsidRPr="00B06C92">
        <w:rPr>
          <w:rFonts w:eastAsiaTheme="minorEastAsia"/>
        </w:rPr>
        <w:t>. The consultation will also help identify any practical considerations for implementation, including transition periods and potential exemptions, while setting a high evidentiary threshold for any objections.</w:t>
      </w:r>
      <w:bookmarkStart w:id="19" w:name="_Toc34638438"/>
    </w:p>
    <w:p w14:paraId="6609B578" w14:textId="372743C4" w:rsidR="006D5B66" w:rsidRDefault="006D5B66" w:rsidP="006D5B66">
      <w:pPr>
        <w:pStyle w:val="Heading2"/>
      </w:pPr>
      <w:bookmarkStart w:id="20" w:name="_Toc204682381"/>
      <w:bookmarkStart w:id="21" w:name="_Toc206142636"/>
      <w:bookmarkStart w:id="22" w:name="_Toc206143592"/>
      <w:bookmarkStart w:id="23" w:name="_Toc210141709"/>
      <w:r>
        <w:t>How to respond</w:t>
      </w:r>
      <w:bookmarkEnd w:id="20"/>
      <w:bookmarkEnd w:id="21"/>
      <w:bookmarkEnd w:id="22"/>
      <w:bookmarkEnd w:id="23"/>
    </w:p>
    <w:p w14:paraId="69F63228" w14:textId="72CBB545" w:rsidR="00C070E9" w:rsidRDefault="00C070E9" w:rsidP="00C070E9">
      <w:pPr>
        <w:pStyle w:val="TableRow"/>
        <w:rPr>
          <w:lang w:eastAsia="en-US"/>
        </w:rPr>
      </w:pPr>
      <w:bookmarkStart w:id="24" w:name="_Toc34638439"/>
      <w:bookmarkEnd w:id="19"/>
      <w:r w:rsidRPr="00A91D33">
        <w:rPr>
          <w:lang w:eastAsia="en-US"/>
        </w:rPr>
        <w:t xml:space="preserve">Responses to this consultation should be </w:t>
      </w:r>
      <w:hyperlink r:id="rId13" w:history="1">
        <w:r w:rsidR="00E31CB5" w:rsidRPr="00A758EC">
          <w:rPr>
            <w:rStyle w:val="Hyperlink"/>
            <w:lang w:eastAsia="en-US"/>
          </w:rPr>
          <w:t xml:space="preserve">submitted </w:t>
        </w:r>
        <w:r w:rsidR="007864F7" w:rsidRPr="00A758EC">
          <w:rPr>
            <w:rStyle w:val="Hyperlink"/>
            <w:lang w:eastAsia="en-US"/>
          </w:rPr>
          <w:t>via the online form</w:t>
        </w:r>
      </w:hyperlink>
      <w:r w:rsidR="007864F7">
        <w:rPr>
          <w:lang w:eastAsia="en-US"/>
        </w:rPr>
        <w:t xml:space="preserve">. </w:t>
      </w:r>
      <w:r w:rsidR="007864F7" w:rsidRPr="007864F7">
        <w:rPr>
          <w:lang w:eastAsia="en-US"/>
        </w:rPr>
        <w:t>If this is not possible, you can email a response to: </w:t>
      </w:r>
      <w:hyperlink r:id="rId14" w:history="1">
        <w:r w:rsidR="007864F7" w:rsidRPr="007864F7">
          <w:rPr>
            <w:rStyle w:val="Hyperlink"/>
            <w:lang w:eastAsia="en-US"/>
          </w:rPr>
          <w:t>FCM-BPA@food.gov.uk</w:t>
        </w:r>
      </w:hyperlink>
      <w:r w:rsidR="00E85A39">
        <w:rPr>
          <w:lang w:eastAsia="en-US"/>
        </w:rPr>
        <w:t xml:space="preserve"> </w:t>
      </w:r>
    </w:p>
    <w:bookmarkEnd w:id="24" w:displacedByCustomXml="next"/>
    <w:bookmarkStart w:id="25" w:name="_Toc34638440" w:displacedByCustomXml="next"/>
    <w:sdt>
      <w:sdtPr>
        <w:rPr>
          <w:b w:val="0"/>
          <w:color w:val="auto"/>
          <w:sz w:val="24"/>
        </w:rPr>
        <w:id w:val="-37827198"/>
        <w:docPartObj>
          <w:docPartGallery w:val="Table of Contents"/>
          <w:docPartUnique/>
        </w:docPartObj>
      </w:sdtPr>
      <w:sdtEndPr/>
      <w:sdtContent>
        <w:p w14:paraId="61C69FA3" w14:textId="43E68DEE" w:rsidR="00FD032B" w:rsidRDefault="00FD032B">
          <w:pPr>
            <w:pStyle w:val="TOCHeading"/>
          </w:pPr>
          <w:r>
            <w:t>Contents</w:t>
          </w:r>
        </w:p>
        <w:p w14:paraId="179788A8" w14:textId="2270CEE8" w:rsidR="00044AA2" w:rsidRDefault="00FD032B">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p>
        <w:p w14:paraId="2B625373" w14:textId="4F88DAEC" w:rsidR="00044AA2" w:rsidRDefault="00044AA2">
          <w:pPr>
            <w:pStyle w:val="TOC2"/>
            <w:rPr>
              <w:rFonts w:asciiTheme="minorHAnsi" w:eastAsiaTheme="minorEastAsia" w:hAnsiTheme="minorHAnsi" w:cstheme="minorBidi"/>
              <w:kern w:val="2"/>
              <w14:ligatures w14:val="standardContextual"/>
            </w:rPr>
          </w:pPr>
          <w:hyperlink w:anchor="_Toc210141708" w:history="1">
            <w:r w:rsidRPr="00316609">
              <w:rPr>
                <w:rStyle w:val="Hyperlink"/>
              </w:rPr>
              <w:t>Purpose of the consultation</w:t>
            </w:r>
            <w:r>
              <w:rPr>
                <w:webHidden/>
              </w:rPr>
              <w:tab/>
            </w:r>
            <w:r>
              <w:rPr>
                <w:webHidden/>
              </w:rPr>
              <w:fldChar w:fldCharType="begin"/>
            </w:r>
            <w:r>
              <w:rPr>
                <w:webHidden/>
              </w:rPr>
              <w:instrText xml:space="preserve"> PAGEREF _Toc210141708 \h </w:instrText>
            </w:r>
            <w:r>
              <w:rPr>
                <w:webHidden/>
              </w:rPr>
            </w:r>
            <w:r>
              <w:rPr>
                <w:webHidden/>
              </w:rPr>
              <w:fldChar w:fldCharType="separate"/>
            </w:r>
            <w:r>
              <w:rPr>
                <w:webHidden/>
              </w:rPr>
              <w:t>1</w:t>
            </w:r>
            <w:r>
              <w:rPr>
                <w:webHidden/>
              </w:rPr>
              <w:fldChar w:fldCharType="end"/>
            </w:r>
          </w:hyperlink>
        </w:p>
        <w:p w14:paraId="76282204" w14:textId="48D6744D" w:rsidR="00044AA2" w:rsidRDefault="00044AA2">
          <w:pPr>
            <w:pStyle w:val="TOC2"/>
            <w:rPr>
              <w:rFonts w:asciiTheme="minorHAnsi" w:eastAsiaTheme="minorEastAsia" w:hAnsiTheme="minorHAnsi" w:cstheme="minorBidi"/>
              <w:kern w:val="2"/>
              <w14:ligatures w14:val="standardContextual"/>
            </w:rPr>
          </w:pPr>
          <w:hyperlink w:anchor="_Toc210141709" w:history="1">
            <w:r w:rsidRPr="00316609">
              <w:rPr>
                <w:rStyle w:val="Hyperlink"/>
              </w:rPr>
              <w:t>How to respond</w:t>
            </w:r>
            <w:r>
              <w:rPr>
                <w:webHidden/>
              </w:rPr>
              <w:tab/>
            </w:r>
            <w:r>
              <w:rPr>
                <w:webHidden/>
              </w:rPr>
              <w:fldChar w:fldCharType="begin"/>
            </w:r>
            <w:r>
              <w:rPr>
                <w:webHidden/>
              </w:rPr>
              <w:instrText xml:space="preserve"> PAGEREF _Toc210141709 \h </w:instrText>
            </w:r>
            <w:r>
              <w:rPr>
                <w:webHidden/>
              </w:rPr>
            </w:r>
            <w:r>
              <w:rPr>
                <w:webHidden/>
              </w:rPr>
              <w:fldChar w:fldCharType="separate"/>
            </w:r>
            <w:r>
              <w:rPr>
                <w:webHidden/>
              </w:rPr>
              <w:t>1</w:t>
            </w:r>
            <w:r>
              <w:rPr>
                <w:webHidden/>
              </w:rPr>
              <w:fldChar w:fldCharType="end"/>
            </w:r>
          </w:hyperlink>
        </w:p>
        <w:p w14:paraId="7CADD8FA" w14:textId="236B54F8" w:rsidR="00044AA2" w:rsidRDefault="00044AA2">
          <w:pPr>
            <w:pStyle w:val="TOC2"/>
            <w:rPr>
              <w:rFonts w:asciiTheme="minorHAnsi" w:eastAsiaTheme="minorEastAsia" w:hAnsiTheme="minorHAnsi" w:cstheme="minorBidi"/>
              <w:kern w:val="2"/>
              <w14:ligatures w14:val="standardContextual"/>
            </w:rPr>
          </w:pPr>
          <w:hyperlink w:anchor="_Toc210141710" w:history="1">
            <w:r w:rsidRPr="00316609">
              <w:rPr>
                <w:rStyle w:val="Hyperlink"/>
              </w:rPr>
              <w:t>Definitions</w:t>
            </w:r>
            <w:r>
              <w:rPr>
                <w:webHidden/>
              </w:rPr>
              <w:tab/>
            </w:r>
            <w:r>
              <w:rPr>
                <w:webHidden/>
              </w:rPr>
              <w:fldChar w:fldCharType="begin"/>
            </w:r>
            <w:r>
              <w:rPr>
                <w:webHidden/>
              </w:rPr>
              <w:instrText xml:space="preserve"> PAGEREF _Toc210141710 \h </w:instrText>
            </w:r>
            <w:r>
              <w:rPr>
                <w:webHidden/>
              </w:rPr>
            </w:r>
            <w:r>
              <w:rPr>
                <w:webHidden/>
              </w:rPr>
              <w:fldChar w:fldCharType="separate"/>
            </w:r>
            <w:r>
              <w:rPr>
                <w:webHidden/>
              </w:rPr>
              <w:t>3</w:t>
            </w:r>
            <w:r>
              <w:rPr>
                <w:webHidden/>
              </w:rPr>
              <w:fldChar w:fldCharType="end"/>
            </w:r>
          </w:hyperlink>
        </w:p>
        <w:p w14:paraId="3469F3D2" w14:textId="1B3D10E1" w:rsidR="00044AA2" w:rsidRDefault="00044AA2">
          <w:pPr>
            <w:pStyle w:val="TOC2"/>
            <w:rPr>
              <w:rFonts w:asciiTheme="minorHAnsi" w:eastAsiaTheme="minorEastAsia" w:hAnsiTheme="minorHAnsi" w:cstheme="minorBidi"/>
              <w:kern w:val="2"/>
              <w14:ligatures w14:val="standardContextual"/>
            </w:rPr>
          </w:pPr>
          <w:hyperlink w:anchor="_Toc210141711" w:history="1">
            <w:r w:rsidRPr="00316609">
              <w:rPr>
                <w:rStyle w:val="Hyperlink"/>
              </w:rPr>
              <w:t>Introduction and rationale for the proposed ban</w:t>
            </w:r>
            <w:r>
              <w:rPr>
                <w:webHidden/>
              </w:rPr>
              <w:tab/>
            </w:r>
            <w:r>
              <w:rPr>
                <w:webHidden/>
              </w:rPr>
              <w:fldChar w:fldCharType="begin"/>
            </w:r>
            <w:r>
              <w:rPr>
                <w:webHidden/>
              </w:rPr>
              <w:instrText xml:space="preserve"> PAGEREF _Toc210141711 \h </w:instrText>
            </w:r>
            <w:r>
              <w:rPr>
                <w:webHidden/>
              </w:rPr>
            </w:r>
            <w:r>
              <w:rPr>
                <w:webHidden/>
              </w:rPr>
              <w:fldChar w:fldCharType="separate"/>
            </w:r>
            <w:r>
              <w:rPr>
                <w:webHidden/>
              </w:rPr>
              <w:t>6</w:t>
            </w:r>
            <w:r>
              <w:rPr>
                <w:webHidden/>
              </w:rPr>
              <w:fldChar w:fldCharType="end"/>
            </w:r>
          </w:hyperlink>
        </w:p>
        <w:p w14:paraId="5FBB82A6" w14:textId="465361A0" w:rsidR="00044AA2" w:rsidRDefault="00044AA2">
          <w:pPr>
            <w:pStyle w:val="TOC3"/>
            <w:rPr>
              <w:rFonts w:asciiTheme="minorHAnsi" w:eastAsiaTheme="minorEastAsia" w:hAnsiTheme="minorHAnsi" w:cstheme="minorBidi"/>
              <w:kern w:val="2"/>
              <w14:ligatures w14:val="standardContextual"/>
            </w:rPr>
          </w:pPr>
          <w:hyperlink w:anchor="_Toc210141712" w:history="1">
            <w:r w:rsidRPr="00316609">
              <w:rPr>
                <w:rStyle w:val="Hyperlink"/>
              </w:rPr>
              <w:t>Regulatory Context and proposed Action</w:t>
            </w:r>
            <w:r>
              <w:rPr>
                <w:webHidden/>
              </w:rPr>
              <w:tab/>
            </w:r>
            <w:r>
              <w:rPr>
                <w:webHidden/>
              </w:rPr>
              <w:fldChar w:fldCharType="begin"/>
            </w:r>
            <w:r>
              <w:rPr>
                <w:webHidden/>
              </w:rPr>
              <w:instrText xml:space="preserve"> PAGEREF _Toc210141712 \h </w:instrText>
            </w:r>
            <w:r>
              <w:rPr>
                <w:webHidden/>
              </w:rPr>
            </w:r>
            <w:r>
              <w:rPr>
                <w:webHidden/>
              </w:rPr>
              <w:fldChar w:fldCharType="separate"/>
            </w:r>
            <w:r>
              <w:rPr>
                <w:webHidden/>
              </w:rPr>
              <w:t>6</w:t>
            </w:r>
            <w:r>
              <w:rPr>
                <w:webHidden/>
              </w:rPr>
              <w:fldChar w:fldCharType="end"/>
            </w:r>
          </w:hyperlink>
        </w:p>
        <w:p w14:paraId="378FFF75" w14:textId="169C2703" w:rsidR="00044AA2" w:rsidRDefault="00044AA2">
          <w:pPr>
            <w:pStyle w:val="TOC3"/>
            <w:rPr>
              <w:rFonts w:asciiTheme="minorHAnsi" w:eastAsiaTheme="minorEastAsia" w:hAnsiTheme="minorHAnsi" w:cstheme="minorBidi"/>
              <w:kern w:val="2"/>
              <w14:ligatures w14:val="standardContextual"/>
            </w:rPr>
          </w:pPr>
          <w:hyperlink w:anchor="_Toc210141713" w:history="1">
            <w:r w:rsidRPr="00316609">
              <w:rPr>
                <w:rStyle w:val="Hyperlink"/>
              </w:rPr>
              <w:t>Proposed Ban</w:t>
            </w:r>
            <w:r>
              <w:rPr>
                <w:webHidden/>
              </w:rPr>
              <w:tab/>
            </w:r>
            <w:r>
              <w:rPr>
                <w:webHidden/>
              </w:rPr>
              <w:fldChar w:fldCharType="begin"/>
            </w:r>
            <w:r>
              <w:rPr>
                <w:webHidden/>
              </w:rPr>
              <w:instrText xml:space="preserve"> PAGEREF _Toc210141713 \h </w:instrText>
            </w:r>
            <w:r>
              <w:rPr>
                <w:webHidden/>
              </w:rPr>
            </w:r>
            <w:r>
              <w:rPr>
                <w:webHidden/>
              </w:rPr>
              <w:fldChar w:fldCharType="separate"/>
            </w:r>
            <w:r>
              <w:rPr>
                <w:webHidden/>
              </w:rPr>
              <w:t>7</w:t>
            </w:r>
            <w:r>
              <w:rPr>
                <w:webHidden/>
              </w:rPr>
              <w:fldChar w:fldCharType="end"/>
            </w:r>
          </w:hyperlink>
        </w:p>
        <w:p w14:paraId="2A480D96" w14:textId="093A2814" w:rsidR="00044AA2" w:rsidRDefault="00044AA2">
          <w:pPr>
            <w:pStyle w:val="TOC3"/>
            <w:rPr>
              <w:rFonts w:asciiTheme="minorHAnsi" w:eastAsiaTheme="minorEastAsia" w:hAnsiTheme="minorHAnsi" w:cstheme="minorBidi"/>
              <w:kern w:val="2"/>
              <w14:ligatures w14:val="standardContextual"/>
            </w:rPr>
          </w:pPr>
          <w:hyperlink w:anchor="_Toc210141714" w:history="1">
            <w:r w:rsidRPr="00316609">
              <w:rPr>
                <w:rStyle w:val="Hyperlink"/>
              </w:rPr>
              <w:t>Next Steps</w:t>
            </w:r>
            <w:r>
              <w:rPr>
                <w:webHidden/>
              </w:rPr>
              <w:tab/>
            </w:r>
            <w:r>
              <w:rPr>
                <w:webHidden/>
              </w:rPr>
              <w:fldChar w:fldCharType="begin"/>
            </w:r>
            <w:r>
              <w:rPr>
                <w:webHidden/>
              </w:rPr>
              <w:instrText xml:space="preserve"> PAGEREF _Toc210141714 \h </w:instrText>
            </w:r>
            <w:r>
              <w:rPr>
                <w:webHidden/>
              </w:rPr>
            </w:r>
            <w:r>
              <w:rPr>
                <w:webHidden/>
              </w:rPr>
              <w:fldChar w:fldCharType="separate"/>
            </w:r>
            <w:r>
              <w:rPr>
                <w:webHidden/>
              </w:rPr>
              <w:t>7</w:t>
            </w:r>
            <w:r>
              <w:rPr>
                <w:webHidden/>
              </w:rPr>
              <w:fldChar w:fldCharType="end"/>
            </w:r>
          </w:hyperlink>
        </w:p>
        <w:p w14:paraId="293E046B" w14:textId="4AD6588E" w:rsidR="00044AA2" w:rsidRDefault="00044AA2">
          <w:pPr>
            <w:pStyle w:val="TOC3"/>
            <w:rPr>
              <w:rFonts w:asciiTheme="minorHAnsi" w:eastAsiaTheme="minorEastAsia" w:hAnsiTheme="minorHAnsi" w:cstheme="minorBidi"/>
              <w:kern w:val="2"/>
              <w14:ligatures w14:val="standardContextual"/>
            </w:rPr>
          </w:pPr>
          <w:hyperlink w:anchor="_Toc210141715" w:history="1">
            <w:r w:rsidRPr="00316609">
              <w:rPr>
                <w:rStyle w:val="Hyperlink"/>
              </w:rPr>
              <w:t>Impacts</w:t>
            </w:r>
            <w:r>
              <w:rPr>
                <w:webHidden/>
              </w:rPr>
              <w:tab/>
            </w:r>
            <w:r>
              <w:rPr>
                <w:webHidden/>
              </w:rPr>
              <w:fldChar w:fldCharType="begin"/>
            </w:r>
            <w:r>
              <w:rPr>
                <w:webHidden/>
              </w:rPr>
              <w:instrText xml:space="preserve"> PAGEREF _Toc210141715 \h </w:instrText>
            </w:r>
            <w:r>
              <w:rPr>
                <w:webHidden/>
              </w:rPr>
            </w:r>
            <w:r>
              <w:rPr>
                <w:webHidden/>
              </w:rPr>
              <w:fldChar w:fldCharType="separate"/>
            </w:r>
            <w:r>
              <w:rPr>
                <w:webHidden/>
              </w:rPr>
              <w:t>8</w:t>
            </w:r>
            <w:r>
              <w:rPr>
                <w:webHidden/>
              </w:rPr>
              <w:fldChar w:fldCharType="end"/>
            </w:r>
          </w:hyperlink>
        </w:p>
        <w:p w14:paraId="4B3C36F1" w14:textId="33D6D7CD" w:rsidR="00044AA2" w:rsidRDefault="00044AA2">
          <w:pPr>
            <w:pStyle w:val="TOC2"/>
            <w:rPr>
              <w:rFonts w:asciiTheme="minorHAnsi" w:eastAsiaTheme="minorEastAsia" w:hAnsiTheme="minorHAnsi" w:cstheme="minorBidi"/>
              <w:kern w:val="2"/>
              <w14:ligatures w14:val="standardContextual"/>
            </w:rPr>
          </w:pPr>
          <w:hyperlink w:anchor="_Toc210141716" w:history="1">
            <w:r w:rsidRPr="00316609">
              <w:rPr>
                <w:rStyle w:val="Hyperlink"/>
              </w:rPr>
              <w:t>Engagement and Consultation Process</w:t>
            </w:r>
            <w:r>
              <w:rPr>
                <w:webHidden/>
              </w:rPr>
              <w:tab/>
            </w:r>
            <w:r>
              <w:rPr>
                <w:webHidden/>
              </w:rPr>
              <w:fldChar w:fldCharType="begin"/>
            </w:r>
            <w:r>
              <w:rPr>
                <w:webHidden/>
              </w:rPr>
              <w:instrText xml:space="preserve"> PAGEREF _Toc210141716 \h </w:instrText>
            </w:r>
            <w:r>
              <w:rPr>
                <w:webHidden/>
              </w:rPr>
            </w:r>
            <w:r>
              <w:rPr>
                <w:webHidden/>
              </w:rPr>
              <w:fldChar w:fldCharType="separate"/>
            </w:r>
            <w:r>
              <w:rPr>
                <w:webHidden/>
              </w:rPr>
              <w:t>9</w:t>
            </w:r>
            <w:r>
              <w:rPr>
                <w:webHidden/>
              </w:rPr>
              <w:fldChar w:fldCharType="end"/>
            </w:r>
          </w:hyperlink>
        </w:p>
        <w:p w14:paraId="60148C9F" w14:textId="29423BE9" w:rsidR="00044AA2" w:rsidRDefault="00044AA2">
          <w:pPr>
            <w:pStyle w:val="TOC3"/>
            <w:rPr>
              <w:rFonts w:asciiTheme="minorHAnsi" w:eastAsiaTheme="minorEastAsia" w:hAnsiTheme="minorHAnsi" w:cstheme="minorBidi"/>
              <w:kern w:val="2"/>
              <w14:ligatures w14:val="standardContextual"/>
            </w:rPr>
          </w:pPr>
          <w:hyperlink w:anchor="_Toc210141717" w:history="1">
            <w:r w:rsidRPr="00316609">
              <w:rPr>
                <w:rStyle w:val="Hyperlink"/>
              </w:rPr>
              <w:t>Questions asked in this consultation:</w:t>
            </w:r>
            <w:r>
              <w:rPr>
                <w:webHidden/>
              </w:rPr>
              <w:tab/>
            </w:r>
            <w:r>
              <w:rPr>
                <w:webHidden/>
              </w:rPr>
              <w:fldChar w:fldCharType="begin"/>
            </w:r>
            <w:r>
              <w:rPr>
                <w:webHidden/>
              </w:rPr>
              <w:instrText xml:space="preserve"> PAGEREF _Toc210141717 \h </w:instrText>
            </w:r>
            <w:r>
              <w:rPr>
                <w:webHidden/>
              </w:rPr>
            </w:r>
            <w:r>
              <w:rPr>
                <w:webHidden/>
              </w:rPr>
              <w:fldChar w:fldCharType="separate"/>
            </w:r>
            <w:r>
              <w:rPr>
                <w:webHidden/>
              </w:rPr>
              <w:t>10</w:t>
            </w:r>
            <w:r>
              <w:rPr>
                <w:webHidden/>
              </w:rPr>
              <w:fldChar w:fldCharType="end"/>
            </w:r>
          </w:hyperlink>
        </w:p>
        <w:p w14:paraId="0F639E22" w14:textId="60AB3E88" w:rsidR="00044AA2" w:rsidRDefault="00044AA2">
          <w:pPr>
            <w:pStyle w:val="TOC2"/>
            <w:rPr>
              <w:rFonts w:asciiTheme="minorHAnsi" w:eastAsiaTheme="minorEastAsia" w:hAnsiTheme="minorHAnsi" w:cstheme="minorBidi"/>
              <w:kern w:val="2"/>
              <w14:ligatures w14:val="standardContextual"/>
            </w:rPr>
          </w:pPr>
          <w:hyperlink w:anchor="_Toc210141718" w:history="1">
            <w:r w:rsidRPr="00316609">
              <w:rPr>
                <w:rStyle w:val="Hyperlink"/>
              </w:rPr>
              <w:t>Responses</w:t>
            </w:r>
            <w:r>
              <w:rPr>
                <w:webHidden/>
              </w:rPr>
              <w:tab/>
            </w:r>
            <w:r>
              <w:rPr>
                <w:webHidden/>
              </w:rPr>
              <w:fldChar w:fldCharType="begin"/>
            </w:r>
            <w:r>
              <w:rPr>
                <w:webHidden/>
              </w:rPr>
              <w:instrText xml:space="preserve"> PAGEREF _Toc210141718 \h </w:instrText>
            </w:r>
            <w:r>
              <w:rPr>
                <w:webHidden/>
              </w:rPr>
            </w:r>
            <w:r>
              <w:rPr>
                <w:webHidden/>
              </w:rPr>
              <w:fldChar w:fldCharType="separate"/>
            </w:r>
            <w:r>
              <w:rPr>
                <w:webHidden/>
              </w:rPr>
              <w:t>10</w:t>
            </w:r>
            <w:r>
              <w:rPr>
                <w:webHidden/>
              </w:rPr>
              <w:fldChar w:fldCharType="end"/>
            </w:r>
          </w:hyperlink>
        </w:p>
        <w:p w14:paraId="7BB6472E" w14:textId="79DF62A9" w:rsidR="00044AA2" w:rsidRDefault="00044AA2">
          <w:pPr>
            <w:pStyle w:val="TOC2"/>
            <w:rPr>
              <w:rFonts w:asciiTheme="minorHAnsi" w:eastAsiaTheme="minorEastAsia" w:hAnsiTheme="minorHAnsi" w:cstheme="minorBidi"/>
              <w:kern w:val="2"/>
              <w14:ligatures w14:val="standardContextual"/>
            </w:rPr>
          </w:pPr>
          <w:hyperlink w:anchor="_Toc210141719" w:history="1">
            <w:r w:rsidRPr="00316609">
              <w:rPr>
                <w:rStyle w:val="Hyperlink"/>
              </w:rPr>
              <w:t>Further information</w:t>
            </w:r>
            <w:r>
              <w:rPr>
                <w:webHidden/>
              </w:rPr>
              <w:tab/>
            </w:r>
            <w:r>
              <w:rPr>
                <w:webHidden/>
              </w:rPr>
              <w:fldChar w:fldCharType="begin"/>
            </w:r>
            <w:r>
              <w:rPr>
                <w:webHidden/>
              </w:rPr>
              <w:instrText xml:space="preserve"> PAGEREF _Toc210141719 \h </w:instrText>
            </w:r>
            <w:r>
              <w:rPr>
                <w:webHidden/>
              </w:rPr>
            </w:r>
            <w:r>
              <w:rPr>
                <w:webHidden/>
              </w:rPr>
              <w:fldChar w:fldCharType="separate"/>
            </w:r>
            <w:r>
              <w:rPr>
                <w:webHidden/>
              </w:rPr>
              <w:t>11</w:t>
            </w:r>
            <w:r>
              <w:rPr>
                <w:webHidden/>
              </w:rPr>
              <w:fldChar w:fldCharType="end"/>
            </w:r>
          </w:hyperlink>
        </w:p>
        <w:p w14:paraId="1AD59ED5" w14:textId="5FA1B50A" w:rsidR="00044AA2" w:rsidRDefault="00044AA2">
          <w:pPr>
            <w:pStyle w:val="TOC1"/>
            <w:rPr>
              <w:rFonts w:asciiTheme="minorHAnsi" w:eastAsiaTheme="minorEastAsia" w:hAnsiTheme="minorHAnsi" w:cstheme="minorBidi"/>
              <w:kern w:val="2"/>
              <w14:ligatures w14:val="standardContextual"/>
            </w:rPr>
          </w:pPr>
          <w:hyperlink w:anchor="_Toc210141720" w:history="1">
            <w:r w:rsidRPr="00316609">
              <w:rPr>
                <w:rStyle w:val="Hyperlink"/>
              </w:rPr>
              <w:t>Annex A: Background</w:t>
            </w:r>
            <w:r>
              <w:rPr>
                <w:webHidden/>
              </w:rPr>
              <w:tab/>
            </w:r>
            <w:r>
              <w:rPr>
                <w:webHidden/>
              </w:rPr>
              <w:fldChar w:fldCharType="begin"/>
            </w:r>
            <w:r>
              <w:rPr>
                <w:webHidden/>
              </w:rPr>
              <w:instrText xml:space="preserve"> PAGEREF _Toc210141720 \h </w:instrText>
            </w:r>
            <w:r>
              <w:rPr>
                <w:webHidden/>
              </w:rPr>
            </w:r>
            <w:r>
              <w:rPr>
                <w:webHidden/>
              </w:rPr>
              <w:fldChar w:fldCharType="separate"/>
            </w:r>
            <w:r>
              <w:rPr>
                <w:webHidden/>
              </w:rPr>
              <w:t>12</w:t>
            </w:r>
            <w:r>
              <w:rPr>
                <w:webHidden/>
              </w:rPr>
              <w:fldChar w:fldCharType="end"/>
            </w:r>
          </w:hyperlink>
        </w:p>
        <w:p w14:paraId="103B133E" w14:textId="143D4478" w:rsidR="00044AA2" w:rsidRDefault="00044AA2">
          <w:pPr>
            <w:pStyle w:val="TOC2"/>
            <w:rPr>
              <w:rFonts w:asciiTheme="minorHAnsi" w:eastAsiaTheme="minorEastAsia" w:hAnsiTheme="minorHAnsi" w:cstheme="minorBidi"/>
              <w:kern w:val="2"/>
              <w14:ligatures w14:val="standardContextual"/>
            </w:rPr>
          </w:pPr>
          <w:hyperlink w:anchor="_Toc210141721" w:history="1">
            <w:r w:rsidRPr="00316609">
              <w:rPr>
                <w:rStyle w:val="Hyperlink"/>
              </w:rPr>
              <w:t>Northern Ireland Position</w:t>
            </w:r>
            <w:r>
              <w:rPr>
                <w:webHidden/>
              </w:rPr>
              <w:tab/>
            </w:r>
            <w:r>
              <w:rPr>
                <w:webHidden/>
              </w:rPr>
              <w:fldChar w:fldCharType="begin"/>
            </w:r>
            <w:r>
              <w:rPr>
                <w:webHidden/>
              </w:rPr>
              <w:instrText xml:space="preserve"> PAGEREF _Toc210141721 \h </w:instrText>
            </w:r>
            <w:r>
              <w:rPr>
                <w:webHidden/>
              </w:rPr>
            </w:r>
            <w:r>
              <w:rPr>
                <w:webHidden/>
              </w:rPr>
              <w:fldChar w:fldCharType="separate"/>
            </w:r>
            <w:r>
              <w:rPr>
                <w:webHidden/>
              </w:rPr>
              <w:t>12</w:t>
            </w:r>
            <w:r>
              <w:rPr>
                <w:webHidden/>
              </w:rPr>
              <w:fldChar w:fldCharType="end"/>
            </w:r>
          </w:hyperlink>
        </w:p>
        <w:p w14:paraId="455DFE66" w14:textId="5E9D19C9" w:rsidR="00044AA2" w:rsidRDefault="00044AA2">
          <w:pPr>
            <w:pStyle w:val="TOC2"/>
            <w:rPr>
              <w:rFonts w:asciiTheme="minorHAnsi" w:eastAsiaTheme="minorEastAsia" w:hAnsiTheme="minorHAnsi" w:cstheme="minorBidi"/>
              <w:kern w:val="2"/>
              <w14:ligatures w14:val="standardContextual"/>
            </w:rPr>
          </w:pPr>
          <w:hyperlink w:anchor="_Toc210141722" w:history="1">
            <w:r w:rsidRPr="00316609">
              <w:rPr>
                <w:rStyle w:val="Hyperlink"/>
              </w:rPr>
              <w:t>Policy Options – Considerations</w:t>
            </w:r>
            <w:r>
              <w:rPr>
                <w:webHidden/>
              </w:rPr>
              <w:tab/>
            </w:r>
            <w:r>
              <w:rPr>
                <w:webHidden/>
              </w:rPr>
              <w:fldChar w:fldCharType="begin"/>
            </w:r>
            <w:r>
              <w:rPr>
                <w:webHidden/>
              </w:rPr>
              <w:instrText xml:space="preserve"> PAGEREF _Toc210141722 \h </w:instrText>
            </w:r>
            <w:r>
              <w:rPr>
                <w:webHidden/>
              </w:rPr>
            </w:r>
            <w:r>
              <w:rPr>
                <w:webHidden/>
              </w:rPr>
              <w:fldChar w:fldCharType="separate"/>
            </w:r>
            <w:r>
              <w:rPr>
                <w:webHidden/>
              </w:rPr>
              <w:t>13</w:t>
            </w:r>
            <w:r>
              <w:rPr>
                <w:webHidden/>
              </w:rPr>
              <w:fldChar w:fldCharType="end"/>
            </w:r>
          </w:hyperlink>
        </w:p>
        <w:p w14:paraId="41F576D5" w14:textId="4B0AAD2F" w:rsidR="00044AA2" w:rsidRDefault="00044AA2">
          <w:pPr>
            <w:pStyle w:val="TOC2"/>
            <w:rPr>
              <w:rFonts w:asciiTheme="minorHAnsi" w:eastAsiaTheme="minorEastAsia" w:hAnsiTheme="minorHAnsi" w:cstheme="minorBidi"/>
              <w:kern w:val="2"/>
              <w14:ligatures w14:val="standardContextual"/>
            </w:rPr>
          </w:pPr>
          <w:hyperlink w:anchor="_Toc210141723" w:history="1">
            <w:r w:rsidRPr="00316609">
              <w:rPr>
                <w:rStyle w:val="Hyperlink"/>
              </w:rPr>
              <w:t>Impacts</w:t>
            </w:r>
            <w:r>
              <w:rPr>
                <w:webHidden/>
              </w:rPr>
              <w:tab/>
            </w:r>
            <w:r>
              <w:rPr>
                <w:webHidden/>
              </w:rPr>
              <w:fldChar w:fldCharType="begin"/>
            </w:r>
            <w:r>
              <w:rPr>
                <w:webHidden/>
              </w:rPr>
              <w:instrText xml:space="preserve"> PAGEREF _Toc210141723 \h </w:instrText>
            </w:r>
            <w:r>
              <w:rPr>
                <w:webHidden/>
              </w:rPr>
            </w:r>
            <w:r>
              <w:rPr>
                <w:webHidden/>
              </w:rPr>
              <w:fldChar w:fldCharType="separate"/>
            </w:r>
            <w:r>
              <w:rPr>
                <w:webHidden/>
              </w:rPr>
              <w:t>14</w:t>
            </w:r>
            <w:r>
              <w:rPr>
                <w:webHidden/>
              </w:rPr>
              <w:fldChar w:fldCharType="end"/>
            </w:r>
          </w:hyperlink>
        </w:p>
        <w:p w14:paraId="00DC92D0" w14:textId="4331C4A4" w:rsidR="00044AA2" w:rsidRDefault="00044AA2">
          <w:pPr>
            <w:pStyle w:val="TOC1"/>
            <w:rPr>
              <w:rFonts w:asciiTheme="minorHAnsi" w:eastAsiaTheme="minorEastAsia" w:hAnsiTheme="minorHAnsi" w:cstheme="minorBidi"/>
              <w:kern w:val="2"/>
              <w14:ligatures w14:val="standardContextual"/>
            </w:rPr>
          </w:pPr>
          <w:hyperlink w:anchor="_Toc210141724" w:history="1">
            <w:r w:rsidRPr="00316609">
              <w:rPr>
                <w:rStyle w:val="Hyperlink"/>
              </w:rPr>
              <w:t>Annex B: Transitional Measures</w:t>
            </w:r>
            <w:r>
              <w:rPr>
                <w:webHidden/>
              </w:rPr>
              <w:tab/>
            </w:r>
            <w:r>
              <w:rPr>
                <w:webHidden/>
              </w:rPr>
              <w:fldChar w:fldCharType="begin"/>
            </w:r>
            <w:r>
              <w:rPr>
                <w:webHidden/>
              </w:rPr>
              <w:instrText xml:space="preserve"> PAGEREF _Toc210141724 \h </w:instrText>
            </w:r>
            <w:r>
              <w:rPr>
                <w:webHidden/>
              </w:rPr>
            </w:r>
            <w:r>
              <w:rPr>
                <w:webHidden/>
              </w:rPr>
              <w:fldChar w:fldCharType="separate"/>
            </w:r>
            <w:r>
              <w:rPr>
                <w:webHidden/>
              </w:rPr>
              <w:t>15</w:t>
            </w:r>
            <w:r>
              <w:rPr>
                <w:webHidden/>
              </w:rPr>
              <w:fldChar w:fldCharType="end"/>
            </w:r>
          </w:hyperlink>
        </w:p>
        <w:p w14:paraId="28F8E957" w14:textId="401229E8" w:rsidR="00044AA2" w:rsidRDefault="00044AA2">
          <w:pPr>
            <w:pStyle w:val="TOC1"/>
            <w:rPr>
              <w:rFonts w:asciiTheme="minorHAnsi" w:eastAsiaTheme="minorEastAsia" w:hAnsiTheme="minorHAnsi" w:cstheme="minorBidi"/>
              <w:kern w:val="2"/>
              <w14:ligatures w14:val="standardContextual"/>
            </w:rPr>
          </w:pPr>
          <w:hyperlink w:anchor="_Toc210141725" w:history="1">
            <w:r w:rsidRPr="00316609">
              <w:rPr>
                <w:rStyle w:val="Hyperlink"/>
              </w:rPr>
              <w:t>Annex C: Derogation</w:t>
            </w:r>
            <w:r>
              <w:rPr>
                <w:webHidden/>
              </w:rPr>
              <w:tab/>
            </w:r>
            <w:r>
              <w:rPr>
                <w:webHidden/>
              </w:rPr>
              <w:fldChar w:fldCharType="begin"/>
            </w:r>
            <w:r>
              <w:rPr>
                <w:webHidden/>
              </w:rPr>
              <w:instrText xml:space="preserve"> PAGEREF _Toc210141725 \h </w:instrText>
            </w:r>
            <w:r>
              <w:rPr>
                <w:webHidden/>
              </w:rPr>
            </w:r>
            <w:r>
              <w:rPr>
                <w:webHidden/>
              </w:rPr>
              <w:fldChar w:fldCharType="separate"/>
            </w:r>
            <w:r>
              <w:rPr>
                <w:webHidden/>
              </w:rPr>
              <w:t>17</w:t>
            </w:r>
            <w:r>
              <w:rPr>
                <w:webHidden/>
              </w:rPr>
              <w:fldChar w:fldCharType="end"/>
            </w:r>
          </w:hyperlink>
        </w:p>
        <w:p w14:paraId="701C75C9" w14:textId="5BBD7DE5" w:rsidR="00044AA2" w:rsidRDefault="00044AA2">
          <w:pPr>
            <w:pStyle w:val="TOC1"/>
            <w:rPr>
              <w:rFonts w:asciiTheme="minorHAnsi" w:eastAsiaTheme="minorEastAsia" w:hAnsiTheme="minorHAnsi" w:cstheme="minorBidi"/>
              <w:kern w:val="2"/>
              <w14:ligatures w14:val="standardContextual"/>
            </w:rPr>
          </w:pPr>
          <w:hyperlink w:anchor="_Toc210141726" w:history="1">
            <w:r w:rsidRPr="00316609">
              <w:rPr>
                <w:rStyle w:val="Hyperlink"/>
              </w:rPr>
              <w:t>Annex D: Proposed Timeline for BPA Ban</w:t>
            </w:r>
            <w:r>
              <w:rPr>
                <w:webHidden/>
              </w:rPr>
              <w:tab/>
            </w:r>
            <w:r>
              <w:rPr>
                <w:webHidden/>
              </w:rPr>
              <w:fldChar w:fldCharType="begin"/>
            </w:r>
            <w:r>
              <w:rPr>
                <w:webHidden/>
              </w:rPr>
              <w:instrText xml:space="preserve"> PAGEREF _Toc210141726 \h </w:instrText>
            </w:r>
            <w:r>
              <w:rPr>
                <w:webHidden/>
              </w:rPr>
            </w:r>
            <w:r>
              <w:rPr>
                <w:webHidden/>
              </w:rPr>
              <w:fldChar w:fldCharType="separate"/>
            </w:r>
            <w:r>
              <w:rPr>
                <w:webHidden/>
              </w:rPr>
              <w:t>18</w:t>
            </w:r>
            <w:r>
              <w:rPr>
                <w:webHidden/>
              </w:rPr>
              <w:fldChar w:fldCharType="end"/>
            </w:r>
          </w:hyperlink>
        </w:p>
        <w:p w14:paraId="0EDF9ACB" w14:textId="2F79DC5A" w:rsidR="00044AA2" w:rsidRDefault="00044AA2">
          <w:pPr>
            <w:pStyle w:val="TOC1"/>
            <w:rPr>
              <w:rFonts w:asciiTheme="minorHAnsi" w:eastAsiaTheme="minorEastAsia" w:hAnsiTheme="minorHAnsi" w:cstheme="minorBidi"/>
              <w:kern w:val="2"/>
              <w14:ligatures w14:val="standardContextual"/>
            </w:rPr>
          </w:pPr>
          <w:hyperlink w:anchor="_Toc210141727" w:history="1">
            <w:r w:rsidRPr="00316609">
              <w:rPr>
                <w:rStyle w:val="Hyperlink"/>
              </w:rPr>
              <w:t>Annex E: List of interested parties</w:t>
            </w:r>
            <w:r>
              <w:rPr>
                <w:webHidden/>
              </w:rPr>
              <w:tab/>
            </w:r>
            <w:r>
              <w:rPr>
                <w:webHidden/>
              </w:rPr>
              <w:fldChar w:fldCharType="begin"/>
            </w:r>
            <w:r>
              <w:rPr>
                <w:webHidden/>
              </w:rPr>
              <w:instrText xml:space="preserve"> PAGEREF _Toc210141727 \h </w:instrText>
            </w:r>
            <w:r>
              <w:rPr>
                <w:webHidden/>
              </w:rPr>
            </w:r>
            <w:r>
              <w:rPr>
                <w:webHidden/>
              </w:rPr>
              <w:fldChar w:fldCharType="separate"/>
            </w:r>
            <w:r>
              <w:rPr>
                <w:webHidden/>
              </w:rPr>
              <w:t>20</w:t>
            </w:r>
            <w:r>
              <w:rPr>
                <w:webHidden/>
              </w:rPr>
              <w:fldChar w:fldCharType="end"/>
            </w:r>
          </w:hyperlink>
        </w:p>
        <w:p w14:paraId="1BE719A4" w14:textId="334215DE" w:rsidR="00FD032B" w:rsidRDefault="00FD032B">
          <w:r>
            <w:rPr>
              <w:b/>
              <w:bCs/>
              <w:noProof/>
            </w:rPr>
            <w:fldChar w:fldCharType="end"/>
          </w:r>
        </w:p>
      </w:sdtContent>
    </w:sdt>
    <w:p w14:paraId="7DD476A4" w14:textId="77777777" w:rsidR="00280F65" w:rsidRPr="00280F65" w:rsidRDefault="00280F65" w:rsidP="001046B6"/>
    <w:p w14:paraId="3DEED5EA" w14:textId="77777777" w:rsidR="003A5684" w:rsidRDefault="003A5684" w:rsidP="00B02BB2">
      <w:pPr>
        <w:rPr>
          <w:rFonts w:cs="Arial"/>
        </w:rPr>
      </w:pPr>
    </w:p>
    <w:p w14:paraId="340E7B8F" w14:textId="77777777" w:rsidR="00975622" w:rsidRDefault="00975622" w:rsidP="00B02BB2">
      <w:pPr>
        <w:rPr>
          <w:rFonts w:cs="Arial"/>
        </w:rPr>
      </w:pPr>
    </w:p>
    <w:p w14:paraId="71989FAE" w14:textId="77777777" w:rsidR="00975622" w:rsidRDefault="00975622" w:rsidP="00B02BB2">
      <w:pPr>
        <w:rPr>
          <w:rFonts w:cs="Arial"/>
        </w:rPr>
      </w:pPr>
    </w:p>
    <w:p w14:paraId="28B88834" w14:textId="77777777" w:rsidR="00975622" w:rsidRDefault="00975622" w:rsidP="00B02BB2">
      <w:pPr>
        <w:rPr>
          <w:rFonts w:cs="Arial"/>
        </w:rPr>
      </w:pPr>
    </w:p>
    <w:p w14:paraId="7D4CA462" w14:textId="77777777" w:rsidR="00975622" w:rsidRPr="000763E7" w:rsidRDefault="00975622" w:rsidP="00B02BB2">
      <w:pPr>
        <w:rPr>
          <w:rFonts w:cs="Arial"/>
        </w:rPr>
      </w:pPr>
    </w:p>
    <w:p w14:paraId="1B05786D" w14:textId="11916C8E" w:rsidR="003A5684" w:rsidRPr="00714563" w:rsidRDefault="003A5684" w:rsidP="001046B6">
      <w:pPr>
        <w:pStyle w:val="Heading2"/>
      </w:pPr>
      <w:bookmarkStart w:id="26" w:name="_Toc210141710"/>
      <w:r w:rsidRPr="003A5684">
        <w:t>De</w:t>
      </w:r>
      <w:r>
        <w:t>finitions</w:t>
      </w:r>
      <w:bookmarkEnd w:id="26"/>
    </w:p>
    <w:p w14:paraId="011102D1" w14:textId="7F51E901" w:rsidR="00B02BB2" w:rsidRPr="000763E7" w:rsidRDefault="00B02BB2" w:rsidP="00B02BB2">
      <w:pPr>
        <w:rPr>
          <w:rFonts w:cs="Arial"/>
        </w:rPr>
      </w:pPr>
      <w:r w:rsidRPr="0F20332A">
        <w:rPr>
          <w:rFonts w:cs="Arial"/>
        </w:rPr>
        <w:t xml:space="preserve">The following definitions apply </w:t>
      </w:r>
      <w:r w:rsidR="0D056217" w:rsidRPr="0F20332A">
        <w:rPr>
          <w:rFonts w:cs="Arial"/>
        </w:rPr>
        <w:t xml:space="preserve">for the purposes </w:t>
      </w:r>
      <w:r w:rsidR="03050937" w:rsidRPr="0F20332A">
        <w:rPr>
          <w:rFonts w:cs="Arial"/>
        </w:rPr>
        <w:t>of this</w:t>
      </w:r>
      <w:r w:rsidRPr="0F20332A">
        <w:rPr>
          <w:rFonts w:cs="Arial"/>
        </w:rPr>
        <w:t xml:space="preserve"> consultation</w:t>
      </w:r>
    </w:p>
    <w:p w14:paraId="65A9E96C" w14:textId="2563A8D6" w:rsidR="00B02BB2" w:rsidRPr="000763E7" w:rsidRDefault="00B02BB2" w:rsidP="5001CB33">
      <w:pPr>
        <w:rPr>
          <w:rFonts w:eastAsiaTheme="majorEastAsia" w:cs="Arial"/>
        </w:rPr>
      </w:pPr>
      <w:r w:rsidRPr="521E0152">
        <w:rPr>
          <w:rFonts w:eastAsiaTheme="majorEastAsia" w:cs="Arial"/>
          <w:b/>
          <w:bCs/>
        </w:rPr>
        <w:t>Regulated Products</w:t>
      </w:r>
      <w:r w:rsidRPr="521E0152">
        <w:rPr>
          <w:rFonts w:eastAsiaTheme="majorEastAsia" w:cs="Arial"/>
        </w:rPr>
        <w:t xml:space="preserve"> are certain food</w:t>
      </w:r>
      <w:r w:rsidR="45272437" w:rsidRPr="5001CB33">
        <w:rPr>
          <w:rFonts w:eastAsiaTheme="majorEastAsia" w:cs="Arial"/>
        </w:rPr>
        <w:t>,</w:t>
      </w:r>
      <w:r w:rsidRPr="521E0152">
        <w:rPr>
          <w:rFonts w:eastAsiaTheme="majorEastAsia" w:cs="Arial"/>
        </w:rPr>
        <w:t xml:space="preserve"> feed products</w:t>
      </w:r>
      <w:r w:rsidR="4AB9B710" w:rsidRPr="521E0152">
        <w:rPr>
          <w:rFonts w:eastAsiaTheme="majorEastAsia" w:cs="Arial"/>
        </w:rPr>
        <w:t xml:space="preserve"> and food contact materials</w:t>
      </w:r>
      <w:r w:rsidRPr="521E0152">
        <w:rPr>
          <w:rFonts w:eastAsiaTheme="majorEastAsia" w:cs="Arial"/>
        </w:rPr>
        <w:t xml:space="preserve"> that must go through a risk analysis process and require authorisation before they can be sold in the UK. </w:t>
      </w:r>
      <w:r w:rsidR="291F5524" w:rsidRPr="45089ABE">
        <w:rPr>
          <w:rFonts w:eastAsiaTheme="majorEastAsia" w:cs="Arial"/>
        </w:rPr>
        <w:t>M</w:t>
      </w:r>
      <w:r w:rsidR="62755344" w:rsidRPr="45089ABE">
        <w:rPr>
          <w:rFonts w:eastAsiaTheme="majorEastAsia" w:cs="Arial"/>
        </w:rPr>
        <w:t xml:space="preserve">ore </w:t>
      </w:r>
      <w:r w:rsidR="0AD69601" w:rsidRPr="45089ABE">
        <w:rPr>
          <w:rFonts w:eastAsiaTheme="majorEastAsia" w:cs="Arial"/>
        </w:rPr>
        <w:t xml:space="preserve">information </w:t>
      </w:r>
      <w:r w:rsidR="62755344" w:rsidRPr="45089ABE">
        <w:rPr>
          <w:rFonts w:eastAsiaTheme="majorEastAsia" w:cs="Arial"/>
        </w:rPr>
        <w:t>about</w:t>
      </w:r>
      <w:r w:rsidRPr="521E0152">
        <w:rPr>
          <w:rFonts w:eastAsiaTheme="majorEastAsia" w:cs="Arial"/>
        </w:rPr>
        <w:t xml:space="preserve"> the application process, including the risk analysis and risk management processes and ministerial involvement </w:t>
      </w:r>
      <w:r w:rsidR="1155AAEB" w:rsidRPr="5001CB33">
        <w:rPr>
          <w:rFonts w:eastAsiaTheme="majorEastAsia" w:cs="Arial"/>
        </w:rPr>
        <w:t>can be found at</w:t>
      </w:r>
      <w:r w:rsidRPr="5001CB33">
        <w:rPr>
          <w:rFonts w:eastAsiaTheme="majorEastAsia" w:cs="Arial"/>
        </w:rPr>
        <w:t xml:space="preserve">: </w:t>
      </w:r>
    </w:p>
    <w:p w14:paraId="04A5B238" w14:textId="1286D38C" w:rsidR="00B02BB2" w:rsidRPr="000763E7" w:rsidRDefault="00B02BB2" w:rsidP="521E0152">
      <w:pPr>
        <w:rPr>
          <w:rFonts w:eastAsiaTheme="majorEastAsia" w:cs="Arial"/>
        </w:rPr>
      </w:pPr>
      <w:hyperlink r:id="rId15">
        <w:r w:rsidRPr="521E0152">
          <w:rPr>
            <w:rStyle w:val="Hyperlink"/>
            <w:rFonts w:eastAsiaTheme="majorEastAsia" w:cs="Arial"/>
          </w:rPr>
          <w:t>Background on placing a regulated product on the market</w:t>
        </w:r>
      </w:hyperlink>
      <w:r w:rsidRPr="521E0152">
        <w:rPr>
          <w:rFonts w:eastAsiaTheme="majorEastAsia" w:cs="Arial"/>
        </w:rPr>
        <w:t>.</w:t>
      </w:r>
    </w:p>
    <w:p w14:paraId="6CF8048C" w14:textId="5E0FEBE0" w:rsidR="00B32D0E" w:rsidRPr="009E6806" w:rsidRDefault="2F077733" w:rsidP="00B32D0E">
      <w:pPr>
        <w:spacing w:after="160" w:line="259" w:lineRule="auto"/>
        <w:rPr>
          <w:rFonts w:cs="Arial"/>
        </w:rPr>
      </w:pPr>
      <w:r w:rsidRPr="009E6806">
        <w:rPr>
          <w:rFonts w:eastAsiaTheme="majorEastAsia" w:cs="Arial"/>
          <w:b/>
          <w:bCs/>
        </w:rPr>
        <w:t>Food contact materials (</w:t>
      </w:r>
      <w:r w:rsidR="00B02BB2" w:rsidRPr="009E6806">
        <w:rPr>
          <w:rFonts w:eastAsiaTheme="majorEastAsia" w:cs="Arial"/>
          <w:b/>
          <w:bCs/>
        </w:rPr>
        <w:t>FCMs</w:t>
      </w:r>
      <w:r w:rsidR="4F964228" w:rsidRPr="009E6806">
        <w:rPr>
          <w:rFonts w:eastAsiaTheme="majorEastAsia" w:cs="Arial"/>
          <w:b/>
          <w:bCs/>
        </w:rPr>
        <w:t>)</w:t>
      </w:r>
      <w:r w:rsidR="00B02BB2" w:rsidRPr="009E6806">
        <w:rPr>
          <w:rFonts w:eastAsiaTheme="majorEastAsia" w:cs="Arial"/>
        </w:rPr>
        <w:t xml:space="preserve"> are</w:t>
      </w:r>
      <w:r w:rsidR="00211DBC" w:rsidRPr="009E6806">
        <w:rPr>
          <w:rFonts w:cs="Arial"/>
        </w:rPr>
        <w:t xml:space="preserve"> m</w:t>
      </w:r>
      <w:r w:rsidR="00B32D0E" w:rsidRPr="009E6806">
        <w:rPr>
          <w:rFonts w:cs="Arial"/>
        </w:rPr>
        <w:t>aterials and articles which, in their finished state, are intended to be brought into contact with food, or are already in contact with food and are intended for that purpose.</w:t>
      </w:r>
    </w:p>
    <w:p w14:paraId="01D36806" w14:textId="77777777" w:rsidR="00B32D0E" w:rsidRPr="009E6806" w:rsidRDefault="00B32D0E" w:rsidP="00B32D0E">
      <w:pPr>
        <w:spacing w:after="160" w:line="259" w:lineRule="auto"/>
        <w:rPr>
          <w:rFonts w:cs="Arial"/>
        </w:rPr>
      </w:pPr>
      <w:r w:rsidRPr="009E6806">
        <w:rPr>
          <w:rFonts w:cs="Arial"/>
        </w:rPr>
        <w:t>This includes materials and articles that:</w:t>
      </w:r>
    </w:p>
    <w:p w14:paraId="264A56B8" w14:textId="77777777" w:rsidR="00B32D0E" w:rsidRPr="009E6806" w:rsidRDefault="00B32D0E" w:rsidP="00A816BE">
      <w:pPr>
        <w:numPr>
          <w:ilvl w:val="0"/>
          <w:numId w:val="18"/>
        </w:numPr>
        <w:spacing w:after="160" w:line="259" w:lineRule="auto"/>
        <w:rPr>
          <w:rFonts w:cs="Arial"/>
        </w:rPr>
      </w:pPr>
      <w:r w:rsidRPr="009E6806">
        <w:rPr>
          <w:rFonts w:cs="Arial"/>
        </w:rPr>
        <w:t>Are intended to come into contact with food (e.g. packaging, containers, kitchenware).</w:t>
      </w:r>
    </w:p>
    <w:p w14:paraId="0CED8E97" w14:textId="77777777" w:rsidR="00B32D0E" w:rsidRPr="009E6806" w:rsidRDefault="00B32D0E" w:rsidP="00A816BE">
      <w:pPr>
        <w:numPr>
          <w:ilvl w:val="0"/>
          <w:numId w:val="18"/>
        </w:numPr>
        <w:spacing w:after="160" w:line="259" w:lineRule="auto"/>
        <w:rPr>
          <w:rFonts w:cs="Arial"/>
        </w:rPr>
      </w:pPr>
      <w:r w:rsidRPr="009E6806">
        <w:rPr>
          <w:rFonts w:cs="Arial"/>
        </w:rPr>
        <w:t>Are already in contact with food and are intended for that use.</w:t>
      </w:r>
    </w:p>
    <w:p w14:paraId="1083F4C0" w14:textId="77777777" w:rsidR="00B32D0E" w:rsidRPr="009E6806" w:rsidRDefault="00B32D0E" w:rsidP="00A816BE">
      <w:pPr>
        <w:numPr>
          <w:ilvl w:val="0"/>
          <w:numId w:val="18"/>
        </w:numPr>
        <w:spacing w:after="160" w:line="259" w:lineRule="auto"/>
        <w:rPr>
          <w:rFonts w:cs="Arial"/>
        </w:rPr>
      </w:pPr>
      <w:r w:rsidRPr="009E6806">
        <w:rPr>
          <w:rFonts w:cs="Arial"/>
        </w:rPr>
        <w:t>Can be reasonably expected to come into contact with food under normal or foreseeable conditions of use.</w:t>
      </w:r>
    </w:p>
    <w:p w14:paraId="3E195B1B" w14:textId="1BDDC2D7" w:rsidR="00B02BB2" w:rsidRPr="000763E7" w:rsidRDefault="00B02BB2" w:rsidP="00231630">
      <w:pPr>
        <w:rPr>
          <w:rFonts w:cs="Arial"/>
        </w:rPr>
      </w:pPr>
      <w:hyperlink r:id="rId16">
        <w:r w:rsidRPr="000763E7">
          <w:rPr>
            <w:rStyle w:val="Hyperlink"/>
            <w:rFonts w:eastAsiaTheme="majorEastAsia" w:cs="Arial"/>
          </w:rPr>
          <w:t>Food contact materials authorisation guidance</w:t>
        </w:r>
      </w:hyperlink>
    </w:p>
    <w:p w14:paraId="50951F07" w14:textId="24CF64F5" w:rsidR="00B02BB2" w:rsidRPr="000763E7" w:rsidRDefault="589FF839" w:rsidP="0F20332A">
      <w:pPr>
        <w:rPr>
          <w:rFonts w:eastAsiaTheme="majorEastAsia" w:cs="Arial"/>
          <w:highlight w:val="yellow"/>
        </w:rPr>
      </w:pPr>
      <w:hyperlink r:id="rId17">
        <w:r w:rsidRPr="0F20332A">
          <w:rPr>
            <w:rStyle w:val="Hyperlink"/>
            <w:rFonts w:eastAsiaTheme="majorEastAsia" w:cs="Arial"/>
          </w:rPr>
          <w:t>The Food and Feed Safety and Hygiene Provisional Common Framework</w:t>
        </w:r>
      </w:hyperlink>
      <w:r w:rsidRPr="0F20332A">
        <w:rPr>
          <w:rFonts w:eastAsiaTheme="majorEastAsia" w:cs="Arial"/>
        </w:rPr>
        <w:t xml:space="preserve"> is a non-statutory arrangement between the UK Government and Devolved Governments </w:t>
      </w:r>
      <w:r w:rsidR="697B22BA" w:rsidRPr="0F20332A">
        <w:rPr>
          <w:rFonts w:eastAsiaTheme="majorEastAsia" w:cs="Arial"/>
        </w:rPr>
        <w:t>(Scotland, Wales and Northern Ireland)</w:t>
      </w:r>
      <w:r w:rsidRPr="0F20332A">
        <w:rPr>
          <w:rFonts w:eastAsiaTheme="majorEastAsia" w:cs="Arial"/>
        </w:rPr>
        <w:t xml:space="preserve"> to establish common approaches to policy areas where powers have returned from the EU within areas of devolved competence. This consultation has been developed under the commitments to collaborative </w:t>
      </w:r>
      <w:r w:rsidR="57B93C1B" w:rsidRPr="0F20332A">
        <w:rPr>
          <w:rFonts w:eastAsiaTheme="majorEastAsia" w:cs="Arial"/>
        </w:rPr>
        <w:t xml:space="preserve">UK </w:t>
      </w:r>
      <w:r w:rsidRPr="0F20332A">
        <w:rPr>
          <w:rFonts w:eastAsiaTheme="majorEastAsia" w:cs="Arial"/>
        </w:rPr>
        <w:t xml:space="preserve">four-nation working set out in this framework. </w:t>
      </w:r>
      <w:r w:rsidR="78298434" w:rsidRPr="0F20332A">
        <w:rPr>
          <w:rFonts w:eastAsiaTheme="majorEastAsia" w:cs="Arial"/>
        </w:rPr>
        <w:t xml:space="preserve">As such, this consultation has </w:t>
      </w:r>
      <w:r w:rsidR="7B1928E7" w:rsidRPr="0F20332A">
        <w:rPr>
          <w:rFonts w:eastAsiaTheme="majorEastAsia" w:cs="Arial"/>
        </w:rPr>
        <w:t>taken</w:t>
      </w:r>
      <w:r w:rsidR="78298434" w:rsidRPr="0F20332A">
        <w:rPr>
          <w:rFonts w:eastAsiaTheme="majorEastAsia" w:cs="Arial"/>
        </w:rPr>
        <w:t xml:space="preserve"> a four-nation approach</w:t>
      </w:r>
      <w:r w:rsidR="6167A0AA" w:rsidRPr="0F20332A">
        <w:rPr>
          <w:rFonts w:eastAsiaTheme="majorEastAsia" w:cs="Arial"/>
        </w:rPr>
        <w:t xml:space="preserve"> bearing in mind </w:t>
      </w:r>
      <w:r w:rsidR="64E1A56F" w:rsidRPr="0F20332A">
        <w:rPr>
          <w:rFonts w:eastAsiaTheme="majorEastAsia" w:cs="Arial"/>
        </w:rPr>
        <w:t>the Windsor</w:t>
      </w:r>
      <w:r w:rsidR="1C5843A2" w:rsidRPr="0F20332A">
        <w:rPr>
          <w:rFonts w:cs="Arial"/>
        </w:rPr>
        <w:t xml:space="preserve"> Framework arrangements</w:t>
      </w:r>
      <w:r w:rsidR="7B07E788" w:rsidRPr="0F20332A">
        <w:rPr>
          <w:rFonts w:cs="Arial"/>
        </w:rPr>
        <w:t xml:space="preserve"> that app</w:t>
      </w:r>
      <w:r w:rsidR="3E38A672" w:rsidRPr="0F20332A">
        <w:rPr>
          <w:rFonts w:cs="Arial"/>
        </w:rPr>
        <w:t>l</w:t>
      </w:r>
      <w:r w:rsidR="7B07E788" w:rsidRPr="0F20332A">
        <w:rPr>
          <w:rFonts w:cs="Arial"/>
        </w:rPr>
        <w:t>y in Northern Ireland</w:t>
      </w:r>
      <w:r w:rsidR="5A921FB7" w:rsidRPr="0F20332A">
        <w:rPr>
          <w:rFonts w:eastAsiaTheme="majorEastAsia" w:cs="Arial"/>
        </w:rPr>
        <w:t>.</w:t>
      </w:r>
      <w:r w:rsidR="78298434" w:rsidRPr="0F20332A">
        <w:rPr>
          <w:rFonts w:eastAsiaTheme="majorEastAsia" w:cs="Arial"/>
        </w:rPr>
        <w:t xml:space="preserve"> </w:t>
      </w:r>
      <w:r w:rsidR="6F7ADB4B" w:rsidRPr="0F20332A">
        <w:rPr>
          <w:rFonts w:eastAsiaTheme="majorEastAsia" w:cs="Arial"/>
        </w:rPr>
        <w:t>Therefore, the f</w:t>
      </w:r>
      <w:r w:rsidR="78298434" w:rsidRPr="0F20332A">
        <w:rPr>
          <w:rFonts w:eastAsiaTheme="majorEastAsia" w:cs="Arial"/>
        </w:rPr>
        <w:t>inal</w:t>
      </w:r>
      <w:r w:rsidRPr="0F20332A">
        <w:rPr>
          <w:rFonts w:eastAsiaTheme="majorEastAsia" w:cs="Arial"/>
        </w:rPr>
        <w:t xml:space="preserve"> recommendations will be agreed before being presented to </w:t>
      </w:r>
      <w:r w:rsidR="007F272F">
        <w:rPr>
          <w:rFonts w:eastAsiaTheme="majorEastAsia" w:cs="Arial"/>
        </w:rPr>
        <w:t>M</w:t>
      </w:r>
      <w:r w:rsidRPr="0F20332A">
        <w:rPr>
          <w:rFonts w:eastAsiaTheme="majorEastAsia" w:cs="Arial"/>
        </w:rPr>
        <w:t>inisters</w:t>
      </w:r>
      <w:r w:rsidR="007F272F">
        <w:rPr>
          <w:rFonts w:eastAsiaTheme="majorEastAsia" w:cs="Arial"/>
        </w:rPr>
        <w:t xml:space="preserve"> for a final deci</w:t>
      </w:r>
      <w:r w:rsidR="00BE0909">
        <w:rPr>
          <w:rFonts w:eastAsiaTheme="majorEastAsia" w:cs="Arial"/>
        </w:rPr>
        <w:t>sion</w:t>
      </w:r>
      <w:r w:rsidR="78298434" w:rsidRPr="0F20332A">
        <w:rPr>
          <w:rFonts w:eastAsiaTheme="majorEastAsia" w:cs="Arial"/>
        </w:rPr>
        <w:t>.</w:t>
      </w:r>
      <w:r w:rsidRPr="0F20332A">
        <w:rPr>
          <w:rFonts w:eastAsiaTheme="majorEastAsia" w:cs="Arial"/>
        </w:rPr>
        <w:t xml:space="preserve"> Northern Ireland continues to fully participate in the risk analysis processes concerning food and feed safety</w:t>
      </w:r>
      <w:r w:rsidR="59E0EE68" w:rsidRPr="0F20332A">
        <w:rPr>
          <w:rFonts w:eastAsiaTheme="majorEastAsia" w:cs="Arial"/>
        </w:rPr>
        <w:t>,</w:t>
      </w:r>
      <w:r w:rsidR="36224DA0" w:rsidRPr="0F20332A">
        <w:rPr>
          <w:rFonts w:eastAsiaTheme="majorEastAsia" w:cs="Arial"/>
        </w:rPr>
        <w:t xml:space="preserve"> </w:t>
      </w:r>
      <w:r w:rsidR="59E0EE68" w:rsidRPr="0F20332A">
        <w:rPr>
          <w:rFonts w:eastAsiaTheme="majorEastAsia" w:cs="Arial"/>
        </w:rPr>
        <w:t>reflecting</w:t>
      </w:r>
      <w:r w:rsidRPr="0F20332A">
        <w:rPr>
          <w:rFonts w:eastAsiaTheme="majorEastAsia" w:cs="Arial"/>
        </w:rPr>
        <w:t xml:space="preserve"> Northern Ireland’s integral role within the UK and ensur</w:t>
      </w:r>
      <w:r w:rsidR="1A95B6E1" w:rsidRPr="0F20332A">
        <w:rPr>
          <w:rFonts w:eastAsiaTheme="majorEastAsia" w:cs="Arial"/>
        </w:rPr>
        <w:t>ing</w:t>
      </w:r>
      <w:r w:rsidRPr="0F20332A">
        <w:rPr>
          <w:rFonts w:eastAsiaTheme="majorEastAsia" w:cs="Arial"/>
        </w:rPr>
        <w:t xml:space="preserve"> that any decision</w:t>
      </w:r>
      <w:r w:rsidR="72EF8B9F" w:rsidRPr="0F20332A">
        <w:rPr>
          <w:rFonts w:eastAsiaTheme="majorEastAsia" w:cs="Arial"/>
        </w:rPr>
        <w:t>s</w:t>
      </w:r>
      <w:r w:rsidRPr="0F20332A">
        <w:rPr>
          <w:rFonts w:eastAsiaTheme="majorEastAsia" w:cs="Arial"/>
        </w:rPr>
        <w:t xml:space="preserve"> made fully consider the potential impacts on the whole of the UK.  </w:t>
      </w:r>
    </w:p>
    <w:p w14:paraId="744BEAFF" w14:textId="1598D1DE" w:rsidR="0057026F" w:rsidRPr="002041E8" w:rsidRDefault="00B02BB2" w:rsidP="0057026F">
      <w:pPr>
        <w:spacing w:after="160" w:line="259" w:lineRule="auto"/>
        <w:rPr>
          <w:rFonts w:cs="Arial"/>
        </w:rPr>
      </w:pPr>
      <w:r w:rsidRPr="521E0152">
        <w:rPr>
          <w:rFonts w:eastAsiaTheme="majorEastAsia" w:cs="Arial"/>
          <w:b/>
          <w:bCs/>
        </w:rPr>
        <w:t>Transitional Periods</w:t>
      </w:r>
      <w:r w:rsidR="00337A55">
        <w:rPr>
          <w:rFonts w:cs="Arial"/>
        </w:rPr>
        <w:t xml:space="preserve"> refer to</w:t>
      </w:r>
      <w:r w:rsidR="0057026F">
        <w:rPr>
          <w:rFonts w:cs="Arial"/>
        </w:rPr>
        <w:t xml:space="preserve"> </w:t>
      </w:r>
      <w:r w:rsidR="0057026F" w:rsidRPr="002041E8">
        <w:rPr>
          <w:rFonts w:cs="Arial"/>
        </w:rPr>
        <w:t>timeframes during which new regulatory requirements are phased in, allowing affected stakeholders—such as businesses, manufacturers, or consumers—time to adapt to the changes before full compliance becomes mandatory.</w:t>
      </w:r>
      <w:r w:rsidR="0057026F">
        <w:rPr>
          <w:rFonts w:cs="Arial"/>
        </w:rPr>
        <w:t xml:space="preserve"> </w:t>
      </w:r>
      <w:r w:rsidR="0057026F" w:rsidRPr="002041E8">
        <w:rPr>
          <w:rFonts w:cs="Arial"/>
        </w:rPr>
        <w:t>In the context of FCMs transitional periods serve to:</w:t>
      </w:r>
    </w:p>
    <w:p w14:paraId="1F83268F" w14:textId="77777777" w:rsidR="0057026F" w:rsidRPr="002041E8" w:rsidRDefault="0057026F" w:rsidP="00A816BE">
      <w:pPr>
        <w:numPr>
          <w:ilvl w:val="0"/>
          <w:numId w:val="21"/>
        </w:numPr>
        <w:spacing w:after="160" w:line="259" w:lineRule="auto"/>
        <w:rPr>
          <w:rFonts w:cs="Arial"/>
        </w:rPr>
      </w:pPr>
      <w:r w:rsidRPr="002041E8">
        <w:rPr>
          <w:rFonts w:cs="Arial"/>
        </w:rPr>
        <w:t>Bridge the gap between old and new legal requirements,</w:t>
      </w:r>
    </w:p>
    <w:p w14:paraId="056B0169" w14:textId="77777777" w:rsidR="0057026F" w:rsidRPr="002041E8" w:rsidRDefault="0057026F" w:rsidP="00A816BE">
      <w:pPr>
        <w:numPr>
          <w:ilvl w:val="0"/>
          <w:numId w:val="21"/>
        </w:numPr>
        <w:spacing w:after="160" w:line="259" w:lineRule="auto"/>
        <w:rPr>
          <w:rFonts w:cs="Arial"/>
        </w:rPr>
      </w:pPr>
      <w:r w:rsidRPr="002041E8">
        <w:rPr>
          <w:rFonts w:cs="Arial"/>
        </w:rPr>
        <w:t>Minimise disruption to supply chains and market operations,</w:t>
      </w:r>
    </w:p>
    <w:p w14:paraId="7521DB3A" w14:textId="77777777" w:rsidR="0057026F" w:rsidRPr="002041E8" w:rsidRDefault="0057026F" w:rsidP="00A816BE">
      <w:pPr>
        <w:numPr>
          <w:ilvl w:val="0"/>
          <w:numId w:val="21"/>
        </w:numPr>
        <w:spacing w:after="160" w:line="259" w:lineRule="auto"/>
        <w:rPr>
          <w:rFonts w:cs="Arial"/>
        </w:rPr>
      </w:pPr>
      <w:r w:rsidRPr="002041E8">
        <w:rPr>
          <w:rFonts w:cs="Arial"/>
        </w:rPr>
        <w:t>Allow time for reformulation, testing, and certification of compliant materials,</w:t>
      </w:r>
    </w:p>
    <w:p w14:paraId="2EE44837" w14:textId="77777777" w:rsidR="0057026F" w:rsidRPr="002041E8" w:rsidRDefault="0057026F" w:rsidP="00A816BE">
      <w:pPr>
        <w:numPr>
          <w:ilvl w:val="0"/>
          <w:numId w:val="21"/>
        </w:numPr>
        <w:spacing w:after="160" w:line="259" w:lineRule="auto"/>
        <w:rPr>
          <w:rFonts w:cs="Arial"/>
        </w:rPr>
      </w:pPr>
      <w:r w:rsidRPr="002041E8">
        <w:rPr>
          <w:rFonts w:cs="Arial"/>
        </w:rPr>
        <w:t>Prevent waste by enabling the continued use or sale of existing stock,</w:t>
      </w:r>
    </w:p>
    <w:p w14:paraId="06B34179" w14:textId="77777777" w:rsidR="0057026F" w:rsidRPr="002041E8" w:rsidRDefault="0057026F" w:rsidP="00A816BE">
      <w:pPr>
        <w:numPr>
          <w:ilvl w:val="0"/>
          <w:numId w:val="21"/>
        </w:numPr>
        <w:spacing w:after="160" w:line="259" w:lineRule="auto"/>
        <w:rPr>
          <w:rFonts w:cs="Arial"/>
        </w:rPr>
      </w:pPr>
      <w:r w:rsidRPr="002041E8">
        <w:rPr>
          <w:rFonts w:cs="Arial"/>
        </w:rPr>
        <w:t>And ensure a smooth, proportionate implementation of public health protections.</w:t>
      </w:r>
    </w:p>
    <w:p w14:paraId="002FC4A7" w14:textId="109AF68F" w:rsidR="00B02BB2" w:rsidRPr="000763E7" w:rsidRDefault="00B02BB2" w:rsidP="00B02BB2">
      <w:pPr>
        <w:rPr>
          <w:rFonts w:cs="Arial"/>
          <w:b/>
          <w:bCs/>
          <w:color w:val="006F51" w:themeColor="accent1"/>
        </w:rPr>
      </w:pPr>
      <w:r w:rsidRPr="000763E7">
        <w:rPr>
          <w:rFonts w:cs="Arial"/>
          <w:b/>
          <w:bCs/>
        </w:rPr>
        <w:t xml:space="preserve">Windsor Framework - For goods eligible for Northern Ireland Retail Movement Scheme (NIRMS): </w:t>
      </w:r>
    </w:p>
    <w:p w14:paraId="4397F064" w14:textId="08FD6B9B" w:rsidR="00B02BB2" w:rsidRPr="00C51753" w:rsidRDefault="00B02BB2" w:rsidP="00A816BE">
      <w:pPr>
        <w:pStyle w:val="ListParagraph"/>
        <w:numPr>
          <w:ilvl w:val="0"/>
          <w:numId w:val="28"/>
        </w:numPr>
        <w:rPr>
          <w:rFonts w:cs="Arial"/>
        </w:rPr>
      </w:pPr>
      <w:r w:rsidRPr="00C51753">
        <w:rPr>
          <w:rFonts w:cs="Arial"/>
        </w:rPr>
        <w:t>In October 2023, the Windsor Framework was implemented providing a unique set of arrangements to support the flow of food</w:t>
      </w:r>
      <w:r w:rsidR="00166191" w:rsidRPr="00C51753">
        <w:rPr>
          <w:rFonts w:cs="Arial"/>
        </w:rPr>
        <w:t>stuffs</w:t>
      </w:r>
      <w:r w:rsidRPr="00C51753">
        <w:rPr>
          <w:rFonts w:cs="Arial"/>
        </w:rPr>
        <w:t xml:space="preserve"> </w:t>
      </w:r>
      <w:r w:rsidR="009A21FE" w:rsidRPr="00C51753">
        <w:rPr>
          <w:rFonts w:cs="Arial"/>
        </w:rPr>
        <w:t xml:space="preserve">including food contact materials </w:t>
      </w:r>
      <w:r w:rsidRPr="00C51753">
        <w:rPr>
          <w:rFonts w:cs="Arial"/>
        </w:rPr>
        <w:t xml:space="preserve">from Great Britain to Northern Ireland.  </w:t>
      </w:r>
    </w:p>
    <w:p w14:paraId="78E6BF31" w14:textId="3E5A0105" w:rsidR="008C155F" w:rsidRPr="00C51753" w:rsidRDefault="00B02BB2" w:rsidP="00A816BE">
      <w:pPr>
        <w:pStyle w:val="ListParagraph"/>
        <w:numPr>
          <w:ilvl w:val="0"/>
          <w:numId w:val="28"/>
        </w:numPr>
        <w:rPr>
          <w:rFonts w:cs="Arial"/>
        </w:rPr>
      </w:pPr>
      <w:r w:rsidRPr="00C51753">
        <w:rPr>
          <w:rFonts w:cs="Arial"/>
        </w:rPr>
        <w:t xml:space="preserve">These goods can meet the same standards applied in the rest of the UK in public health, marketing (including labelling) and </w:t>
      </w:r>
      <w:r w:rsidR="00B1235D" w:rsidRPr="00C51753">
        <w:rPr>
          <w:rFonts w:cs="Arial"/>
        </w:rPr>
        <w:t>foodstuffs</w:t>
      </w:r>
      <w:r w:rsidRPr="00C51753">
        <w:rPr>
          <w:rFonts w:cs="Arial"/>
        </w:rPr>
        <w:t xml:space="preserve"> when moving through the Northern Ireland Retail Movement Scheme (NIRMS).</w:t>
      </w:r>
    </w:p>
    <w:p w14:paraId="369422F3" w14:textId="77777777" w:rsidR="008C155F" w:rsidRPr="00C51753" w:rsidRDefault="00913F7A" w:rsidP="00A816BE">
      <w:pPr>
        <w:pStyle w:val="ListParagraph"/>
        <w:numPr>
          <w:ilvl w:val="0"/>
          <w:numId w:val="28"/>
        </w:numPr>
        <w:rPr>
          <w:rFonts w:cs="Arial"/>
        </w:rPr>
      </w:pPr>
      <w:r w:rsidRPr="00C51753">
        <w:rPr>
          <w:rFonts w:cs="Arial"/>
          <w:bdr w:val="none" w:sz="0" w:space="0" w:color="auto" w:frame="1"/>
        </w:rPr>
        <w:t>Goods authorised in Great Britain can be moved into Northern Ireland through the </w:t>
      </w:r>
      <w:r w:rsidRPr="00C51753">
        <w:rPr>
          <w:rFonts w:cs="Arial"/>
        </w:rPr>
        <w:t xml:space="preserve">Northern </w:t>
      </w:r>
      <w:r w:rsidRPr="00C51753">
        <w:rPr>
          <w:rFonts w:cs="Arial"/>
          <w:color w:val="000000"/>
        </w:rPr>
        <w:t>Ireland Retail Movement Scheme</w:t>
      </w:r>
      <w:r w:rsidRPr="00C51753">
        <w:rPr>
          <w:rFonts w:cs="Arial"/>
          <w:bdr w:val="none" w:sz="0" w:space="0" w:color="auto" w:frame="1"/>
        </w:rPr>
        <w:t>.</w:t>
      </w:r>
    </w:p>
    <w:p w14:paraId="43CA1793" w14:textId="12C54FD4" w:rsidR="00B02BB2" w:rsidRPr="00C51753" w:rsidRDefault="00B02BB2" w:rsidP="00A816BE">
      <w:pPr>
        <w:pStyle w:val="ListParagraph"/>
        <w:numPr>
          <w:ilvl w:val="0"/>
          <w:numId w:val="28"/>
        </w:numPr>
        <w:rPr>
          <w:rFonts w:cs="Arial"/>
        </w:rPr>
      </w:pPr>
      <w:r w:rsidRPr="00C51753">
        <w:rPr>
          <w:rFonts w:cs="Arial"/>
        </w:rPr>
        <w:t>The FSA remain committed to ensuring that consumers across the UK can be confident that food is safe and is what it says it is, even where rules applicable to the same type of food may be slightly different</w:t>
      </w:r>
      <w:r w:rsidR="5356C535" w:rsidRPr="00C51753">
        <w:rPr>
          <w:rFonts w:cs="Arial"/>
        </w:rPr>
        <w:t>.</w:t>
      </w:r>
    </w:p>
    <w:p w14:paraId="3AF745FC" w14:textId="08CEDA68" w:rsidR="00B02BB2" w:rsidRPr="000763E7" w:rsidRDefault="00B02BB2" w:rsidP="00B02BB2">
      <w:pPr>
        <w:rPr>
          <w:rFonts w:cs="Arial"/>
        </w:rPr>
      </w:pPr>
      <w:r w:rsidRPr="000763E7">
        <w:rPr>
          <w:rFonts w:cs="Arial"/>
          <w:b/>
          <w:bCs/>
        </w:rPr>
        <w:t>Safety Assessment</w:t>
      </w:r>
      <w:r w:rsidRPr="000763E7">
        <w:rPr>
          <w:rFonts w:cs="Arial"/>
        </w:rPr>
        <w:t xml:space="preserve"> – FSA Risk Assessors deliver the science behind our advice. They are responsible for identifying and characterising hazards and risks to health and assessing exposure levels. </w:t>
      </w:r>
    </w:p>
    <w:p w14:paraId="3B449762" w14:textId="2C5BEC9A" w:rsidR="00B02BB2" w:rsidRPr="000763E7" w:rsidRDefault="00B02BB2" w:rsidP="00B02BB2">
      <w:pPr>
        <w:rPr>
          <w:rStyle w:val="normaltextrun"/>
          <w:rFonts w:cs="Arial"/>
          <w:color w:val="000000" w:themeColor="text1"/>
        </w:rPr>
      </w:pPr>
      <w:r w:rsidRPr="000763E7">
        <w:rPr>
          <w:rFonts w:cs="Arial"/>
          <w:b/>
          <w:bCs/>
        </w:rPr>
        <w:t>Risk Management</w:t>
      </w:r>
      <w:r w:rsidRPr="000763E7">
        <w:rPr>
          <w:rFonts w:cs="Arial"/>
        </w:rPr>
        <w:t xml:space="preserve"> - </w:t>
      </w:r>
      <w:r w:rsidR="004D105B" w:rsidRPr="00DB3418">
        <w:rPr>
          <w:rFonts w:cs="Arial"/>
        </w:rPr>
        <w:t>P</w:t>
      </w:r>
      <w:r w:rsidRPr="00DB3418">
        <w:rPr>
          <w:rFonts w:cs="Arial"/>
        </w:rPr>
        <w:t>olicy advis</w:t>
      </w:r>
      <w:r w:rsidR="00272245" w:rsidRPr="00DB3418">
        <w:rPr>
          <w:rFonts w:cs="Arial"/>
        </w:rPr>
        <w:t>e</w:t>
      </w:r>
      <w:r w:rsidRPr="00DB3418">
        <w:rPr>
          <w:rFonts w:cs="Arial"/>
        </w:rPr>
        <w:t>rs are responsible for the risk management outputs</w:t>
      </w:r>
      <w:r w:rsidR="002849D5" w:rsidRPr="00DB3418">
        <w:rPr>
          <w:rFonts w:cs="Arial"/>
        </w:rPr>
        <w:t xml:space="preserve"> which </w:t>
      </w:r>
      <w:r w:rsidR="005D35ED" w:rsidRPr="00DB3418">
        <w:rPr>
          <w:rFonts w:cs="Arial"/>
        </w:rPr>
        <w:t>include considerations</w:t>
      </w:r>
      <w:r w:rsidR="003818B8" w:rsidRPr="00DB3418">
        <w:rPr>
          <w:rFonts w:cs="Arial"/>
        </w:rPr>
        <w:t xml:space="preserve"> and decisions</w:t>
      </w:r>
      <w:r w:rsidR="005D35ED" w:rsidRPr="00DB3418">
        <w:rPr>
          <w:rFonts w:cs="Arial"/>
        </w:rPr>
        <w:t xml:space="preserve"> for managing risks in a way that aligns with public health goals, legal obligations, and socio-economic considerations</w:t>
      </w:r>
      <w:r w:rsidR="005D35ED" w:rsidRPr="00D27B14">
        <w:rPr>
          <w:rFonts w:cs="Arial"/>
        </w:rPr>
        <w:t>.</w:t>
      </w:r>
    </w:p>
    <w:p w14:paraId="06616007" w14:textId="45FC9B2A" w:rsidR="002345DA" w:rsidRDefault="002345DA" w:rsidP="28A11397">
      <w:pPr>
        <w:rPr>
          <w:rStyle w:val="normaltextrun"/>
          <w:rFonts w:cs="Arial"/>
          <w:b/>
          <w:bCs/>
          <w:color w:val="000000" w:themeColor="text1"/>
        </w:rPr>
      </w:pPr>
      <w:r w:rsidRPr="008043D1">
        <w:rPr>
          <w:rFonts w:eastAsia="Arial" w:cs="Arial"/>
          <w:b/>
          <w:bCs/>
          <w:color w:val="000000" w:themeColor="text1"/>
        </w:rPr>
        <w:t>Bisphenols</w:t>
      </w:r>
      <w:r w:rsidRPr="008043D1">
        <w:rPr>
          <w:rFonts w:eastAsia="Arial" w:cs="Arial"/>
          <w:color w:val="000000" w:themeColor="text1"/>
        </w:rPr>
        <w:t xml:space="preserve"> – A group of chemical substances related in their structure to diphenylmethane (CAS  101-81-5) with two phenyl carbon rings - hence “bis (two) - phenol.” The bisphenols include chemicals referred to as BPA, BPS and BPF, which are bisphenol reacted with different chemicals to change the overall structure and the resulting chemical’s useful properties</w:t>
      </w:r>
      <w:r w:rsidRPr="756B1B11">
        <w:rPr>
          <w:rFonts w:eastAsia="Arial" w:cs="Arial"/>
          <w:color w:val="000000" w:themeColor="text1"/>
          <w:sz w:val="21"/>
          <w:szCs w:val="21"/>
        </w:rPr>
        <w:t>.</w:t>
      </w:r>
    </w:p>
    <w:p w14:paraId="5A5D13D0" w14:textId="16CC83DE" w:rsidR="2F832C10" w:rsidRDefault="2F832C10" w:rsidP="28A11397">
      <w:pPr>
        <w:rPr>
          <w:rFonts w:eastAsia="Arial" w:cs="Arial"/>
          <w:color w:val="000000" w:themeColor="text1"/>
        </w:rPr>
      </w:pPr>
      <w:r w:rsidRPr="008A7838">
        <w:rPr>
          <w:rStyle w:val="normaltextrun"/>
          <w:rFonts w:cs="Arial"/>
          <w:b/>
          <w:bCs/>
          <w:color w:val="000000" w:themeColor="text1"/>
        </w:rPr>
        <w:t>Bisphenol A</w:t>
      </w:r>
      <w:r w:rsidR="3A584EEC" w:rsidRPr="008A7838">
        <w:rPr>
          <w:rStyle w:val="normaltextrun"/>
          <w:rFonts w:cs="Arial"/>
          <w:b/>
          <w:bCs/>
          <w:color w:val="000000" w:themeColor="text1"/>
        </w:rPr>
        <w:t xml:space="preserve"> (BPA)</w:t>
      </w:r>
      <w:r w:rsidRPr="008A7838">
        <w:rPr>
          <w:rStyle w:val="normaltextrun"/>
          <w:rFonts w:cs="Arial"/>
          <w:color w:val="000000" w:themeColor="text1"/>
        </w:rPr>
        <w:t xml:space="preserve"> – This is the colloquial name for the chemical</w:t>
      </w:r>
      <w:r w:rsidR="06F70495" w:rsidRPr="008A7838">
        <w:rPr>
          <w:rStyle w:val="normaltextrun"/>
          <w:rFonts w:cs="Arial"/>
          <w:color w:val="000000" w:themeColor="text1"/>
        </w:rPr>
        <w:t xml:space="preserve"> 2,2-bis(4-hydroxyphenyl) propane,</w:t>
      </w:r>
      <w:r w:rsidRPr="008043D1">
        <w:rPr>
          <w:rFonts w:eastAsia="Arial" w:cs="Arial"/>
          <w:color w:val="000000" w:themeColor="text1"/>
        </w:rPr>
        <w:t xml:space="preserve"> with the identifying CAS number </w:t>
      </w:r>
      <w:r w:rsidR="07B897AB" w:rsidRPr="008043D1">
        <w:rPr>
          <w:rFonts w:eastAsia="Arial" w:cs="Arial"/>
          <w:color w:val="000000" w:themeColor="text1"/>
        </w:rPr>
        <w:t xml:space="preserve">80-05-7. </w:t>
      </w:r>
      <w:r w:rsidR="3E489A43" w:rsidRPr="008043D1">
        <w:rPr>
          <w:rFonts w:eastAsia="Arial" w:cs="Arial"/>
          <w:color w:val="000000" w:themeColor="text1"/>
        </w:rPr>
        <w:t xml:space="preserve">It is Substance 151 </w:t>
      </w:r>
      <w:r w:rsidR="002F2F06">
        <w:rPr>
          <w:rFonts w:eastAsia="Arial" w:cs="Arial"/>
          <w:color w:val="000000" w:themeColor="text1"/>
        </w:rPr>
        <w:t>authorised un</w:t>
      </w:r>
      <w:r w:rsidR="00EB512F">
        <w:rPr>
          <w:rFonts w:eastAsia="Arial" w:cs="Arial"/>
          <w:color w:val="000000" w:themeColor="text1"/>
        </w:rPr>
        <w:t xml:space="preserve">der </w:t>
      </w:r>
      <w:r w:rsidR="00A36CDF">
        <w:rPr>
          <w:rFonts w:eastAsia="Arial" w:cs="Arial"/>
          <w:color w:val="000000" w:themeColor="text1"/>
        </w:rPr>
        <w:t>assimilated</w:t>
      </w:r>
      <w:r w:rsidR="007C1E71">
        <w:rPr>
          <w:rFonts w:eastAsia="Arial" w:cs="Arial"/>
          <w:color w:val="000000" w:themeColor="text1"/>
        </w:rPr>
        <w:t xml:space="preserve"> </w:t>
      </w:r>
      <w:r w:rsidR="003D4958">
        <w:rPr>
          <w:rFonts w:eastAsia="Arial" w:cs="Arial"/>
          <w:color w:val="000000" w:themeColor="text1"/>
        </w:rPr>
        <w:t>Regulation</w:t>
      </w:r>
      <w:r w:rsidR="00AD55B8">
        <w:rPr>
          <w:rFonts w:eastAsia="Arial" w:cs="Arial"/>
          <w:color w:val="000000" w:themeColor="text1"/>
        </w:rPr>
        <w:t xml:space="preserve"> 10/2</w:t>
      </w:r>
      <w:r w:rsidR="00E64642">
        <w:rPr>
          <w:rFonts w:eastAsia="Arial" w:cs="Arial"/>
          <w:color w:val="000000" w:themeColor="text1"/>
        </w:rPr>
        <w:t>011 on plastic materials and articles intended to come into contact with food</w:t>
      </w:r>
      <w:r w:rsidR="00F87FF4">
        <w:rPr>
          <w:rFonts w:eastAsia="Arial" w:cs="Arial"/>
          <w:color w:val="000000" w:themeColor="text1"/>
        </w:rPr>
        <w:t>.</w:t>
      </w:r>
    </w:p>
    <w:p w14:paraId="250219B8" w14:textId="3AB8E345" w:rsidR="00F27839" w:rsidRDefault="006D66B2" w:rsidP="00F27839">
      <w:pPr>
        <w:rPr>
          <w:rFonts w:eastAsia="Arial" w:cs="Arial"/>
          <w:color w:val="000000" w:themeColor="text1"/>
        </w:rPr>
      </w:pPr>
      <w:r w:rsidRPr="00952B24">
        <w:rPr>
          <w:rFonts w:eastAsia="Arial" w:cs="Arial"/>
          <w:b/>
          <w:bCs/>
          <w:color w:val="000000" w:themeColor="text1"/>
        </w:rPr>
        <w:t>Bisphenol S (B</w:t>
      </w:r>
      <w:r w:rsidR="00F27839" w:rsidRPr="00952B24">
        <w:rPr>
          <w:rFonts w:eastAsia="Arial" w:cs="Arial"/>
          <w:b/>
          <w:bCs/>
          <w:color w:val="000000" w:themeColor="text1"/>
        </w:rPr>
        <w:t>PS)</w:t>
      </w:r>
      <w:r w:rsidR="00F27839">
        <w:rPr>
          <w:rFonts w:eastAsia="Arial" w:cs="Arial"/>
          <w:color w:val="000000" w:themeColor="text1"/>
        </w:rPr>
        <w:t xml:space="preserve"> - </w:t>
      </w:r>
      <w:r w:rsidR="00F27839" w:rsidRPr="008A7838">
        <w:rPr>
          <w:rStyle w:val="normaltextrun"/>
          <w:rFonts w:cs="Arial"/>
          <w:color w:val="000000" w:themeColor="text1"/>
        </w:rPr>
        <w:t>This is the colloquial name for the chemical</w:t>
      </w:r>
      <w:r w:rsidR="000A24C7">
        <w:rPr>
          <w:rStyle w:val="normaltextrun"/>
          <w:rFonts w:cs="Arial"/>
          <w:color w:val="000000" w:themeColor="text1"/>
        </w:rPr>
        <w:t xml:space="preserve"> </w:t>
      </w:r>
      <w:r w:rsidR="00D87979" w:rsidRPr="00D87979">
        <w:rPr>
          <w:rFonts w:cs="Arial"/>
          <w:color w:val="000000" w:themeColor="text1"/>
        </w:rPr>
        <w:t>4,4′-dihydroxydiphenyl sulphone</w:t>
      </w:r>
      <w:r w:rsidR="00F27839" w:rsidRPr="008A7838">
        <w:rPr>
          <w:rStyle w:val="normaltextrun"/>
          <w:rFonts w:cs="Arial"/>
          <w:color w:val="000000" w:themeColor="text1"/>
        </w:rPr>
        <w:t>,</w:t>
      </w:r>
      <w:r w:rsidR="00F27839" w:rsidRPr="008043D1">
        <w:rPr>
          <w:rFonts w:eastAsia="Arial" w:cs="Arial"/>
          <w:color w:val="000000" w:themeColor="text1"/>
        </w:rPr>
        <w:t xml:space="preserve"> with the identifying CAS number </w:t>
      </w:r>
      <w:r w:rsidR="00952D08" w:rsidRPr="00952D08">
        <w:rPr>
          <w:rFonts w:eastAsia="Arial" w:cs="Arial"/>
          <w:color w:val="000000" w:themeColor="text1"/>
        </w:rPr>
        <w:t>0000080-09-1</w:t>
      </w:r>
      <w:r w:rsidR="00F27839" w:rsidRPr="008043D1">
        <w:rPr>
          <w:rFonts w:eastAsia="Arial" w:cs="Arial"/>
          <w:color w:val="000000" w:themeColor="text1"/>
        </w:rPr>
        <w:t>. It is Substance 1</w:t>
      </w:r>
      <w:r w:rsidR="00341EE0">
        <w:rPr>
          <w:rFonts w:eastAsia="Arial" w:cs="Arial"/>
          <w:color w:val="000000" w:themeColor="text1"/>
        </w:rPr>
        <w:t>54</w:t>
      </w:r>
      <w:r w:rsidR="00F27839" w:rsidRPr="008043D1">
        <w:rPr>
          <w:rFonts w:eastAsia="Arial" w:cs="Arial"/>
          <w:color w:val="000000" w:themeColor="text1"/>
        </w:rPr>
        <w:t xml:space="preserve"> </w:t>
      </w:r>
      <w:r w:rsidR="00F87FF4">
        <w:rPr>
          <w:rFonts w:eastAsia="Arial" w:cs="Arial"/>
          <w:color w:val="000000" w:themeColor="text1"/>
        </w:rPr>
        <w:t>authorised under assimilated Regulation 10/2011 on plastic materials and articles intended to come into contact with food.</w:t>
      </w:r>
      <w:r w:rsidR="00F87FF4" w:rsidRPr="008043D1">
        <w:rPr>
          <w:rFonts w:eastAsia="Arial" w:cs="Arial"/>
          <w:color w:val="000000" w:themeColor="text1"/>
        </w:rPr>
        <w:t xml:space="preserve"> </w:t>
      </w:r>
    </w:p>
    <w:p w14:paraId="66FEB705" w14:textId="17302E57" w:rsidR="006D66B2" w:rsidRDefault="00A17475" w:rsidP="28A11397">
      <w:pPr>
        <w:rPr>
          <w:rFonts w:cs="Arial"/>
          <w:color w:val="000000" w:themeColor="text1"/>
        </w:rPr>
      </w:pPr>
      <w:r w:rsidRPr="00952B24">
        <w:rPr>
          <w:rFonts w:eastAsia="Arial" w:cs="Arial"/>
          <w:b/>
          <w:bCs/>
          <w:color w:val="000000" w:themeColor="text1"/>
        </w:rPr>
        <w:t>Bisphenol F</w:t>
      </w:r>
      <w:r w:rsidR="009C1D57" w:rsidRPr="00952B24">
        <w:rPr>
          <w:rFonts w:eastAsia="Arial" w:cs="Arial"/>
          <w:b/>
          <w:bCs/>
          <w:color w:val="000000" w:themeColor="text1"/>
        </w:rPr>
        <w:t xml:space="preserve"> (</w:t>
      </w:r>
      <w:r w:rsidR="00F41661" w:rsidRPr="00952B24">
        <w:rPr>
          <w:rFonts w:eastAsia="Arial" w:cs="Arial"/>
          <w:b/>
          <w:bCs/>
          <w:color w:val="000000" w:themeColor="text1"/>
        </w:rPr>
        <w:t>BPF)</w:t>
      </w:r>
      <w:r w:rsidR="00F41661">
        <w:rPr>
          <w:rFonts w:eastAsia="Arial" w:cs="Arial"/>
          <w:color w:val="000000" w:themeColor="text1"/>
        </w:rPr>
        <w:t xml:space="preserve"> - </w:t>
      </w:r>
      <w:r w:rsidR="00F41661" w:rsidRPr="008A7838">
        <w:rPr>
          <w:rStyle w:val="normaltextrun"/>
          <w:rFonts w:cs="Arial"/>
          <w:color w:val="000000" w:themeColor="text1"/>
        </w:rPr>
        <w:t>This is the colloquial name for the chemical</w:t>
      </w:r>
      <w:r w:rsidR="00D506B0">
        <w:rPr>
          <w:rStyle w:val="normaltextrun"/>
          <w:rFonts w:cs="Arial"/>
          <w:color w:val="000000" w:themeColor="text1"/>
        </w:rPr>
        <w:t xml:space="preserve"> </w:t>
      </w:r>
      <w:r w:rsidR="00D506B0" w:rsidRPr="00D506B0">
        <w:rPr>
          <w:rFonts w:cs="Arial"/>
          <w:color w:val="000000" w:themeColor="text1"/>
        </w:rPr>
        <w:t>Bis(4-</w:t>
      </w:r>
      <w:proofErr w:type="gramStart"/>
      <w:r w:rsidR="00D506B0" w:rsidRPr="00D506B0">
        <w:rPr>
          <w:rFonts w:cs="Arial"/>
          <w:color w:val="000000" w:themeColor="text1"/>
        </w:rPr>
        <w:t>hydroxyphenyl)methane</w:t>
      </w:r>
      <w:proofErr w:type="gramEnd"/>
      <w:r w:rsidR="00F41661">
        <w:rPr>
          <w:rStyle w:val="normaltextrun"/>
          <w:rFonts w:cs="Arial"/>
          <w:color w:val="000000" w:themeColor="text1"/>
        </w:rPr>
        <w:t xml:space="preserve"> </w:t>
      </w:r>
      <w:r w:rsidR="00E61FD6">
        <w:rPr>
          <w:rFonts w:cs="Arial"/>
          <w:color w:val="000000" w:themeColor="text1"/>
        </w:rPr>
        <w:t>with the identifying CAS number</w:t>
      </w:r>
      <w:r w:rsidR="00E03CF6">
        <w:rPr>
          <w:rFonts w:cs="Arial"/>
          <w:color w:val="000000" w:themeColor="text1"/>
        </w:rPr>
        <w:t xml:space="preserve"> </w:t>
      </w:r>
      <w:r w:rsidR="008F301E" w:rsidRPr="00952B24">
        <w:rPr>
          <w:rFonts w:cs="Arial"/>
          <w:color w:val="000000" w:themeColor="text1"/>
        </w:rPr>
        <w:t>620-92-8</w:t>
      </w:r>
    </w:p>
    <w:p w14:paraId="1B1D0187" w14:textId="72B02F5E" w:rsidR="000C25D9" w:rsidRDefault="00474EDF" w:rsidP="000D69AF">
      <w:pPr>
        <w:tabs>
          <w:tab w:val="left" w:pos="2355"/>
        </w:tabs>
        <w:rPr>
          <w:rFonts w:cs="Arial"/>
        </w:rPr>
      </w:pPr>
      <w:r w:rsidRPr="000D69AF">
        <w:rPr>
          <w:rFonts w:cs="Arial"/>
          <w:b/>
          <w:bCs/>
          <w:color w:val="000000" w:themeColor="text1"/>
        </w:rPr>
        <w:t xml:space="preserve">BPA </w:t>
      </w:r>
      <w:r w:rsidR="000C25D9" w:rsidRPr="000D69AF">
        <w:rPr>
          <w:rFonts w:cs="Arial"/>
          <w:b/>
          <w:bCs/>
          <w:color w:val="000000" w:themeColor="text1"/>
        </w:rPr>
        <w:t>A</w:t>
      </w:r>
      <w:r w:rsidR="00C60F6D" w:rsidRPr="000D69AF">
        <w:rPr>
          <w:rFonts w:cs="Arial"/>
          <w:b/>
          <w:bCs/>
          <w:color w:val="000000" w:themeColor="text1"/>
        </w:rPr>
        <w:t>nalogues</w:t>
      </w:r>
      <w:r w:rsidR="00C60F6D">
        <w:rPr>
          <w:rFonts w:cs="Arial"/>
          <w:color w:val="000000" w:themeColor="text1"/>
        </w:rPr>
        <w:t xml:space="preserve"> - </w:t>
      </w:r>
      <w:r w:rsidR="004538C5" w:rsidRPr="00473A84">
        <w:rPr>
          <w:rFonts w:cs="Arial"/>
        </w:rPr>
        <w:t>refers to chemically related substances that share a similar core structure to BPA and may exhibit comparable hazardous properties</w:t>
      </w:r>
      <w:r w:rsidR="00D84255">
        <w:rPr>
          <w:rFonts w:cs="Arial"/>
        </w:rPr>
        <w:t>.</w:t>
      </w:r>
    </w:p>
    <w:p w14:paraId="385F64B2" w14:textId="77777777" w:rsidR="00622B8E" w:rsidRDefault="00622B8E" w:rsidP="000D69AF">
      <w:pPr>
        <w:tabs>
          <w:tab w:val="left" w:pos="2355"/>
        </w:tabs>
        <w:rPr>
          <w:rFonts w:cs="Arial"/>
        </w:rPr>
      </w:pPr>
    </w:p>
    <w:p w14:paraId="37502DF9" w14:textId="77777777" w:rsidR="00622B8E" w:rsidRDefault="00622B8E" w:rsidP="000D69AF">
      <w:pPr>
        <w:tabs>
          <w:tab w:val="left" w:pos="2355"/>
        </w:tabs>
        <w:rPr>
          <w:rFonts w:cs="Arial"/>
        </w:rPr>
      </w:pPr>
    </w:p>
    <w:p w14:paraId="0F9810C3" w14:textId="77777777" w:rsidR="00622B8E" w:rsidRDefault="00622B8E" w:rsidP="000D69AF">
      <w:pPr>
        <w:tabs>
          <w:tab w:val="left" w:pos="2355"/>
        </w:tabs>
        <w:rPr>
          <w:rFonts w:cs="Arial"/>
        </w:rPr>
      </w:pPr>
    </w:p>
    <w:p w14:paraId="28159F37" w14:textId="77777777" w:rsidR="00622B8E" w:rsidRDefault="00622B8E" w:rsidP="000D69AF">
      <w:pPr>
        <w:tabs>
          <w:tab w:val="left" w:pos="2355"/>
        </w:tabs>
        <w:rPr>
          <w:rFonts w:cs="Arial"/>
        </w:rPr>
      </w:pPr>
    </w:p>
    <w:p w14:paraId="5D21FD14" w14:textId="77777777" w:rsidR="00622B8E" w:rsidRDefault="00622B8E" w:rsidP="000D69AF">
      <w:pPr>
        <w:tabs>
          <w:tab w:val="left" w:pos="2355"/>
        </w:tabs>
        <w:rPr>
          <w:rFonts w:cs="Arial"/>
        </w:rPr>
      </w:pPr>
    </w:p>
    <w:p w14:paraId="2FADBE8C" w14:textId="77777777" w:rsidR="00622B8E" w:rsidRDefault="00622B8E" w:rsidP="000D69AF">
      <w:pPr>
        <w:tabs>
          <w:tab w:val="left" w:pos="2355"/>
        </w:tabs>
        <w:rPr>
          <w:rFonts w:cs="Arial"/>
        </w:rPr>
      </w:pPr>
    </w:p>
    <w:p w14:paraId="7BA4C8C7" w14:textId="77777777" w:rsidR="00622B8E" w:rsidRDefault="00622B8E" w:rsidP="000D69AF">
      <w:pPr>
        <w:tabs>
          <w:tab w:val="left" w:pos="2355"/>
        </w:tabs>
        <w:rPr>
          <w:rFonts w:cs="Arial"/>
        </w:rPr>
      </w:pPr>
    </w:p>
    <w:p w14:paraId="23730BFF" w14:textId="77777777" w:rsidR="00622B8E" w:rsidRDefault="00622B8E" w:rsidP="000D69AF">
      <w:pPr>
        <w:tabs>
          <w:tab w:val="left" w:pos="2355"/>
        </w:tabs>
        <w:rPr>
          <w:rFonts w:cs="Arial"/>
        </w:rPr>
      </w:pPr>
    </w:p>
    <w:p w14:paraId="2D6CDEC5" w14:textId="77777777" w:rsidR="00622B8E" w:rsidRDefault="00622B8E" w:rsidP="000D69AF">
      <w:pPr>
        <w:tabs>
          <w:tab w:val="left" w:pos="2355"/>
        </w:tabs>
        <w:rPr>
          <w:rFonts w:cs="Arial"/>
        </w:rPr>
      </w:pPr>
    </w:p>
    <w:p w14:paraId="58EEFD0C" w14:textId="77777777" w:rsidR="00622B8E" w:rsidRDefault="00622B8E" w:rsidP="000D69AF">
      <w:pPr>
        <w:tabs>
          <w:tab w:val="left" w:pos="2355"/>
        </w:tabs>
        <w:rPr>
          <w:rFonts w:cs="Arial"/>
        </w:rPr>
      </w:pPr>
    </w:p>
    <w:p w14:paraId="5E8D1F84" w14:textId="77777777" w:rsidR="00622B8E" w:rsidRDefault="00622B8E" w:rsidP="000D69AF">
      <w:pPr>
        <w:tabs>
          <w:tab w:val="left" w:pos="2355"/>
        </w:tabs>
        <w:rPr>
          <w:rFonts w:cs="Arial"/>
        </w:rPr>
      </w:pPr>
    </w:p>
    <w:p w14:paraId="147C8116" w14:textId="77777777" w:rsidR="00622B8E" w:rsidRDefault="00622B8E" w:rsidP="000D69AF">
      <w:pPr>
        <w:tabs>
          <w:tab w:val="left" w:pos="2355"/>
        </w:tabs>
        <w:rPr>
          <w:rFonts w:cs="Arial"/>
        </w:rPr>
      </w:pPr>
    </w:p>
    <w:p w14:paraId="65BCB70D" w14:textId="77777777" w:rsidR="00622B8E" w:rsidRDefault="00622B8E" w:rsidP="000D69AF">
      <w:pPr>
        <w:tabs>
          <w:tab w:val="left" w:pos="2355"/>
        </w:tabs>
        <w:rPr>
          <w:rFonts w:cs="Arial"/>
        </w:rPr>
      </w:pPr>
    </w:p>
    <w:p w14:paraId="24E1D851" w14:textId="77777777" w:rsidR="00DB3418" w:rsidRDefault="00DB3418" w:rsidP="000D69AF">
      <w:pPr>
        <w:tabs>
          <w:tab w:val="left" w:pos="2355"/>
        </w:tabs>
        <w:rPr>
          <w:rFonts w:cs="Arial"/>
        </w:rPr>
      </w:pPr>
    </w:p>
    <w:p w14:paraId="00899A24" w14:textId="77777777" w:rsidR="00DB3418" w:rsidRDefault="00DB3418" w:rsidP="000D69AF">
      <w:pPr>
        <w:tabs>
          <w:tab w:val="left" w:pos="2355"/>
        </w:tabs>
        <w:rPr>
          <w:rFonts w:cs="Arial"/>
        </w:rPr>
      </w:pPr>
    </w:p>
    <w:p w14:paraId="0865823F" w14:textId="77777777" w:rsidR="00DB3418" w:rsidRDefault="00DB3418" w:rsidP="000D69AF">
      <w:pPr>
        <w:tabs>
          <w:tab w:val="left" w:pos="2355"/>
        </w:tabs>
        <w:rPr>
          <w:rFonts w:cs="Arial"/>
        </w:rPr>
      </w:pPr>
    </w:p>
    <w:p w14:paraId="42AC41A3" w14:textId="77777777" w:rsidR="00DB3418" w:rsidRDefault="00DB3418" w:rsidP="000D69AF">
      <w:pPr>
        <w:tabs>
          <w:tab w:val="left" w:pos="2355"/>
        </w:tabs>
        <w:rPr>
          <w:rFonts w:cs="Arial"/>
        </w:rPr>
      </w:pPr>
    </w:p>
    <w:p w14:paraId="0542D48C" w14:textId="77777777" w:rsidR="00DB3418" w:rsidRDefault="00DB3418" w:rsidP="000D69AF">
      <w:pPr>
        <w:tabs>
          <w:tab w:val="left" w:pos="2355"/>
        </w:tabs>
        <w:rPr>
          <w:rFonts w:cs="Arial"/>
        </w:rPr>
      </w:pPr>
    </w:p>
    <w:p w14:paraId="17495FE5" w14:textId="77777777" w:rsidR="00DB3418" w:rsidRDefault="00DB3418" w:rsidP="000D69AF">
      <w:pPr>
        <w:tabs>
          <w:tab w:val="left" w:pos="2355"/>
        </w:tabs>
        <w:rPr>
          <w:rFonts w:cs="Arial"/>
        </w:rPr>
      </w:pPr>
    </w:p>
    <w:p w14:paraId="4CC4E372" w14:textId="77777777" w:rsidR="00DB3418" w:rsidRDefault="00DB3418" w:rsidP="000D69AF">
      <w:pPr>
        <w:tabs>
          <w:tab w:val="left" w:pos="2355"/>
        </w:tabs>
        <w:rPr>
          <w:rFonts w:cs="Arial"/>
        </w:rPr>
      </w:pPr>
    </w:p>
    <w:p w14:paraId="2E1E908B" w14:textId="77777777" w:rsidR="00622B8E" w:rsidRDefault="00622B8E" w:rsidP="000D69AF">
      <w:pPr>
        <w:tabs>
          <w:tab w:val="left" w:pos="2355"/>
        </w:tabs>
        <w:rPr>
          <w:rFonts w:cs="Arial"/>
        </w:rPr>
      </w:pPr>
    </w:p>
    <w:p w14:paraId="779C1B7C" w14:textId="77777777" w:rsidR="00622B8E" w:rsidRDefault="00622B8E" w:rsidP="000D69AF">
      <w:pPr>
        <w:tabs>
          <w:tab w:val="left" w:pos="2355"/>
        </w:tabs>
        <w:rPr>
          <w:rFonts w:cs="Arial"/>
        </w:rPr>
      </w:pPr>
    </w:p>
    <w:p w14:paraId="21E58714" w14:textId="77777777" w:rsidR="00622B8E" w:rsidRPr="008043D1" w:rsidRDefault="00622B8E" w:rsidP="000D69AF">
      <w:pPr>
        <w:tabs>
          <w:tab w:val="left" w:pos="2355"/>
        </w:tabs>
        <w:rPr>
          <w:rFonts w:eastAsia="Arial" w:cs="Arial"/>
          <w:color w:val="000000" w:themeColor="text1"/>
        </w:rPr>
      </w:pPr>
    </w:p>
    <w:p w14:paraId="4F77FA8C" w14:textId="513E23EA" w:rsidR="00DA3B90" w:rsidRPr="00DA3B90" w:rsidRDefault="0050464D" w:rsidP="000B23B7">
      <w:pPr>
        <w:pStyle w:val="Heading2"/>
      </w:pPr>
      <w:bookmarkStart w:id="27" w:name="_Toc210141711"/>
      <w:r w:rsidRPr="0050464D">
        <w:t>Introduction</w:t>
      </w:r>
      <w:bookmarkEnd w:id="25"/>
      <w:r w:rsidR="005A0CFF">
        <w:t xml:space="preserve"> and rationale </w:t>
      </w:r>
      <w:r w:rsidR="000B23B7">
        <w:t>for the proposed ban</w:t>
      </w:r>
      <w:bookmarkEnd w:id="27"/>
    </w:p>
    <w:p w14:paraId="48D3B84E" w14:textId="3DC91985" w:rsidR="00DA3B90" w:rsidRPr="00DA3B90" w:rsidRDefault="00DA3B90" w:rsidP="00A816BE">
      <w:pPr>
        <w:pStyle w:val="ListParagraph"/>
        <w:numPr>
          <w:ilvl w:val="0"/>
          <w:numId w:val="17"/>
        </w:numPr>
      </w:pPr>
      <w:r w:rsidRPr="00DA3B90">
        <w:t>Bisphenol A (BPA) has been widely used in the manufacture of various food contact materials (FCMs), including varnishes, coatings, adhesives, and polycarbonate plastics. Its primary applications include lining metal packaging</w:t>
      </w:r>
      <w:r w:rsidR="00BB4D04">
        <w:t xml:space="preserve"> </w:t>
      </w:r>
      <w:r w:rsidRPr="00DA3B90">
        <w:t>such as cans and lids</w:t>
      </w:r>
      <w:r w:rsidR="00BB4D04">
        <w:t xml:space="preserve"> </w:t>
      </w:r>
      <w:r w:rsidRPr="00DA3B90">
        <w:t>and producing durable food storage equipment and reusable drink containers. BPA’s strength, durability, and heat resistance have made it a popular material in the food industry for decades.</w:t>
      </w:r>
    </w:p>
    <w:p w14:paraId="48AE344B" w14:textId="77777777" w:rsidR="00BA18E9" w:rsidRDefault="00DA3B90" w:rsidP="00A816BE">
      <w:pPr>
        <w:pStyle w:val="ListParagraph"/>
        <w:numPr>
          <w:ilvl w:val="0"/>
          <w:numId w:val="17"/>
        </w:numPr>
      </w:pPr>
      <w:r w:rsidRPr="00DA3B90">
        <w:t>However, long-standing concerns about its potential health effects</w:t>
      </w:r>
      <w:r w:rsidR="00986FB7">
        <w:t xml:space="preserve"> </w:t>
      </w:r>
      <w:r w:rsidRPr="00DA3B90">
        <w:t>particularly its impact on male reproductive health and the immune system</w:t>
      </w:r>
      <w:r w:rsidR="00986FB7">
        <w:t xml:space="preserve"> </w:t>
      </w:r>
      <w:r w:rsidRPr="00DA3B90">
        <w:t>have led to sustained scientific scrutiny and regulatory review. In recent years, the safety of BPA has been extensively assessed by several regulatory bodies, including the European Food Safety Authority (EFSA) and the German Federal Institute for Risk Assessment (</w:t>
      </w:r>
      <w:proofErr w:type="spellStart"/>
      <w:r w:rsidRPr="00DA3B90">
        <w:t>BfR</w:t>
      </w:r>
      <w:proofErr w:type="spellEnd"/>
      <w:r w:rsidRPr="00DA3B90">
        <w:t>). These reviews highlighted significant risks associated with BPA exposure, prompting tighter regulations across Europe.</w:t>
      </w:r>
    </w:p>
    <w:p w14:paraId="5F44CAB9" w14:textId="034454F5" w:rsidR="00DA3B90" w:rsidRPr="00DA3B90" w:rsidRDefault="00DA3B90" w:rsidP="00A816BE">
      <w:pPr>
        <w:pStyle w:val="ListParagraph"/>
        <w:numPr>
          <w:ilvl w:val="0"/>
          <w:numId w:val="17"/>
        </w:numPr>
      </w:pPr>
      <w:r>
        <w:t xml:space="preserve">In the UK, the Food Standards Agency (FSA) have also evaluated the safety of BPA through the independent Committee on Toxicity of Chemicals in Food, Consumer Products and the Environment (COT). COT reviewed the scientific basis for EFSA’s revised tolerable daily intake (TDI) for BPA and the </w:t>
      </w:r>
      <w:proofErr w:type="spellStart"/>
      <w:r>
        <w:t>BfR’s</w:t>
      </w:r>
      <w:proofErr w:type="spellEnd"/>
      <w:r>
        <w:t xml:space="preserve"> 2023 assessment. In June 2024, COT published a </w:t>
      </w:r>
      <w:hyperlink r:id="rId18">
        <w:r w:rsidRPr="5FFD336E">
          <w:rPr>
            <w:rStyle w:val="Hyperlink"/>
          </w:rPr>
          <w:t>position paper</w:t>
        </w:r>
      </w:hyperlink>
      <w:r>
        <w:t xml:space="preserve"> </w:t>
      </w:r>
      <w:r w:rsidR="27310478">
        <w:t>confirming concern</w:t>
      </w:r>
      <w:r>
        <w:t xml:space="preserve"> about BPA’s effects on the immune and reproductive systems and noting that the new TDI is extremely low that it may be difficult to achieve in practice under current usage conditions.</w:t>
      </w:r>
    </w:p>
    <w:p w14:paraId="62DC2149" w14:textId="6F7BE0C4" w:rsidR="008E55F6" w:rsidRDefault="00DA3B90" w:rsidP="00A816BE">
      <w:pPr>
        <w:pStyle w:val="ListParagraph"/>
        <w:numPr>
          <w:ilvl w:val="0"/>
          <w:numId w:val="17"/>
        </w:numPr>
      </w:pPr>
      <w:r w:rsidRPr="00DA3B90">
        <w:t>Although COT has not yet conducted a full assessment of BPA analogues and derivatives, these substances are structurally similar and are increasingly associated with comparable health risks. As a precautionary measure, the FSA recommend</w:t>
      </w:r>
      <w:r w:rsidR="004A7E9D">
        <w:t>s</w:t>
      </w:r>
      <w:r w:rsidRPr="00DA3B90">
        <w:t xml:space="preserve"> that any regulatory action should also encompass these related substances to prevent harmful substitution.</w:t>
      </w:r>
    </w:p>
    <w:p w14:paraId="4AB71F8C" w14:textId="4261118F" w:rsidR="006E61D2" w:rsidRDefault="001D18A6" w:rsidP="006E61D2">
      <w:pPr>
        <w:pStyle w:val="Heading3"/>
      </w:pPr>
      <w:bookmarkStart w:id="28" w:name="_Toc210141712"/>
      <w:r>
        <w:t xml:space="preserve">Regulatory </w:t>
      </w:r>
      <w:r w:rsidR="003514AC">
        <w:t>Context and proposed Action</w:t>
      </w:r>
      <w:bookmarkEnd w:id="28"/>
    </w:p>
    <w:p w14:paraId="34D416DC" w14:textId="41CB14C9" w:rsidR="00C11D4D" w:rsidRDefault="00DA3B90" w:rsidP="00A816BE">
      <w:pPr>
        <w:pStyle w:val="Numbered"/>
        <w:numPr>
          <w:ilvl w:val="0"/>
          <w:numId w:val="17"/>
        </w:numPr>
      </w:pPr>
      <w:r>
        <w:t>In response to the growing body of evidence, the European Union</w:t>
      </w:r>
      <w:r w:rsidR="00882D51">
        <w:t xml:space="preserve"> (EU)</w:t>
      </w:r>
      <w:r>
        <w:t xml:space="preserve"> adopted </w:t>
      </w:r>
      <w:hyperlink r:id="rId19">
        <w:r w:rsidRPr="5FFD336E">
          <w:rPr>
            <w:rStyle w:val="Hyperlink"/>
          </w:rPr>
          <w:t>Commission Regulation (EU) 2024/3190</w:t>
        </w:r>
      </w:hyperlink>
      <w:r>
        <w:t xml:space="preserve">, which </w:t>
      </w:r>
      <w:r w:rsidR="00A13B84">
        <w:t>prohibits</w:t>
      </w:r>
      <w:r>
        <w:t xml:space="preserve"> the use and trade of BPA, its </w:t>
      </w:r>
      <w:r w:rsidR="5FEF96CC">
        <w:t>salts, other</w:t>
      </w:r>
      <w:r>
        <w:t xml:space="preserve"> hazardous bisphenols </w:t>
      </w:r>
      <w:r w:rsidR="7C6E3AA6">
        <w:t>and hazardous</w:t>
      </w:r>
      <w:r>
        <w:t xml:space="preserve"> </w:t>
      </w:r>
      <w:r w:rsidR="7C6E3AA6">
        <w:t>bisphenol</w:t>
      </w:r>
      <w:r>
        <w:t xml:space="preserve"> </w:t>
      </w:r>
      <w:r w:rsidR="7C6E3AA6">
        <w:t>derivatives</w:t>
      </w:r>
      <w:r>
        <w:t xml:space="preserve"> in a wide range of food contact materials. This includes epoxy resins used in metal food and drink cans, durable plastics in reusable bottles, and other common applications. The regulation came into force in January 2025 and includes an 18-month transition period for most products to allow industry time to adapt. Under the Windsor Framework, this regulation applies in Northern Ireland.</w:t>
      </w:r>
      <w:r w:rsidR="224A3CC7">
        <w:t xml:space="preserve">  </w:t>
      </w:r>
    </w:p>
    <w:p w14:paraId="1CCEEC57" w14:textId="7E6AAE05" w:rsidR="00E31959" w:rsidRPr="00DB3418" w:rsidRDefault="00E31959" w:rsidP="00A816BE">
      <w:pPr>
        <w:pStyle w:val="Numbered"/>
        <w:numPr>
          <w:ilvl w:val="0"/>
          <w:numId w:val="17"/>
        </w:numPr>
      </w:pPr>
      <w:r w:rsidRPr="00DB3418">
        <w:t xml:space="preserve">In light of the available scientific evidence and policy options considered, the FSA </w:t>
      </w:r>
      <w:r w:rsidR="008D32F0" w:rsidRPr="00DB3418">
        <w:t xml:space="preserve">preferred option </w:t>
      </w:r>
      <w:r w:rsidR="00FB6ED8" w:rsidRPr="00DB3418">
        <w:t>is</w:t>
      </w:r>
      <w:r w:rsidRPr="00DB3418">
        <w:t xml:space="preserve"> recommending a ban on the use of BPA and its analogues in FCMs</w:t>
      </w:r>
      <w:r w:rsidR="00FB6ED8" w:rsidRPr="00DB3418">
        <w:t xml:space="preserve"> </w:t>
      </w:r>
      <w:r w:rsidR="00FB6ED8" w:rsidRPr="00DB3418">
        <w:rPr>
          <w:b/>
          <w:bCs/>
        </w:rPr>
        <w:t>(Option 3)</w:t>
      </w:r>
      <w:r w:rsidRPr="00DB3418">
        <w:t>. This decision follows a thorough evaluation of three main options</w:t>
      </w:r>
      <w:r w:rsidR="006C55AF" w:rsidRPr="00DB3418">
        <w:t xml:space="preserve"> </w:t>
      </w:r>
      <w:r w:rsidR="00484BE1" w:rsidRPr="00DB3418">
        <w:t>(</w:t>
      </w:r>
      <w:r w:rsidR="006A24F4" w:rsidRPr="00DB3418">
        <w:t xml:space="preserve">expanded policy options </w:t>
      </w:r>
      <w:r w:rsidR="00484BE1" w:rsidRPr="00DB3418">
        <w:t xml:space="preserve">included in </w:t>
      </w:r>
      <w:r w:rsidR="006C55AF" w:rsidRPr="00DB3418">
        <w:rPr>
          <w:b/>
          <w:bCs/>
        </w:rPr>
        <w:t xml:space="preserve">Annex </w:t>
      </w:r>
      <w:r w:rsidR="00B24B96" w:rsidRPr="00DB3418">
        <w:rPr>
          <w:b/>
          <w:bCs/>
        </w:rPr>
        <w:t>A</w:t>
      </w:r>
      <w:r w:rsidR="00484BE1" w:rsidRPr="00DB3418">
        <w:t>)</w:t>
      </w:r>
      <w:r w:rsidRPr="00DB3418">
        <w:t>:</w:t>
      </w:r>
    </w:p>
    <w:p w14:paraId="494D836C" w14:textId="477A3E1A" w:rsidR="00E31959" w:rsidRPr="00DB3418" w:rsidRDefault="008D32F0" w:rsidP="00A816BE">
      <w:pPr>
        <w:pStyle w:val="ListParagraph"/>
        <w:numPr>
          <w:ilvl w:val="0"/>
          <w:numId w:val="22"/>
        </w:numPr>
      </w:pPr>
      <w:r w:rsidRPr="00DB3418">
        <w:rPr>
          <w:b/>
          <w:bCs/>
        </w:rPr>
        <w:t>Option 1</w:t>
      </w:r>
      <w:r w:rsidRPr="00DB3418">
        <w:t xml:space="preserve">: </w:t>
      </w:r>
      <w:r w:rsidR="00E31959" w:rsidRPr="00DB3418">
        <w:t>Taking no immediate action, which would maintain the status quo but fail to address known health risks.</w:t>
      </w:r>
    </w:p>
    <w:p w14:paraId="3DB79A74" w14:textId="151245AF" w:rsidR="00E31959" w:rsidRPr="00DB3418" w:rsidRDefault="008D32F0" w:rsidP="00A816BE">
      <w:pPr>
        <w:pStyle w:val="ListParagraph"/>
        <w:numPr>
          <w:ilvl w:val="0"/>
          <w:numId w:val="22"/>
        </w:numPr>
      </w:pPr>
      <w:r w:rsidRPr="00DB3418">
        <w:rPr>
          <w:b/>
          <w:bCs/>
        </w:rPr>
        <w:t>Option 2</w:t>
      </w:r>
      <w:r w:rsidRPr="00DB3418">
        <w:t xml:space="preserve">: </w:t>
      </w:r>
      <w:r w:rsidR="00E31959" w:rsidRPr="00DB3418">
        <w:t>Banning BPA only, which could lead to substitution with similarly harmful analogues.</w:t>
      </w:r>
    </w:p>
    <w:p w14:paraId="47AD3446" w14:textId="7B3F3E87" w:rsidR="00E31959" w:rsidRPr="00DB3418" w:rsidRDefault="008D32F0" w:rsidP="00A816BE">
      <w:pPr>
        <w:pStyle w:val="ListParagraph"/>
        <w:numPr>
          <w:ilvl w:val="0"/>
          <w:numId w:val="22"/>
        </w:numPr>
      </w:pPr>
      <w:r w:rsidRPr="00DB3418">
        <w:rPr>
          <w:b/>
          <w:bCs/>
        </w:rPr>
        <w:t>Option 3</w:t>
      </w:r>
      <w:r w:rsidRPr="00DB3418">
        <w:t xml:space="preserve">: </w:t>
      </w:r>
      <w:r w:rsidR="00E31959" w:rsidRPr="00DB3418">
        <w:t>Banning both BPA and its analogues, which offers the most comprehensive protection for public health and aligns with international regulatory developments.</w:t>
      </w:r>
    </w:p>
    <w:p w14:paraId="3DE04350" w14:textId="77777777" w:rsidR="00701E98" w:rsidRPr="00701E98" w:rsidRDefault="00E31959" w:rsidP="00701E98">
      <w:pPr>
        <w:pStyle w:val="ListParagraph"/>
        <w:numPr>
          <w:ilvl w:val="0"/>
          <w:numId w:val="17"/>
        </w:numPr>
        <w:rPr>
          <w:lang w:val="en-US"/>
        </w:rPr>
      </w:pPr>
      <w:r w:rsidRPr="000315C6">
        <w:t>The recommended approach reflects the precautionary principle and aims to prevent harmful substitution, ensure regulatory consistency across the UK and EU/Northern Ireland, and support industry in transitioning to safer alternatives.</w:t>
      </w:r>
    </w:p>
    <w:p w14:paraId="7B00E3C3" w14:textId="107A461B" w:rsidR="00DA3B90" w:rsidRPr="00701E98" w:rsidRDefault="33C24340" w:rsidP="00701E98">
      <w:pPr>
        <w:pStyle w:val="ListParagraph"/>
        <w:numPr>
          <w:ilvl w:val="0"/>
          <w:numId w:val="17"/>
        </w:numPr>
        <w:rPr>
          <w:lang w:val="en-US"/>
        </w:rPr>
      </w:pPr>
      <w:r w:rsidRPr="00285FBD">
        <w:t>Launching</w:t>
      </w:r>
      <w:r>
        <w:t xml:space="preserve"> this consultation is the first formal step in the legal process to consider removing BPA</w:t>
      </w:r>
      <w:r w:rsidR="000F6C3D">
        <w:t xml:space="preserve"> as </w:t>
      </w:r>
      <w:r w:rsidR="1617ADE8">
        <w:t>an authorised</w:t>
      </w:r>
      <w:r>
        <w:t xml:space="preserve"> substance. </w:t>
      </w:r>
      <w:r w:rsidR="00DA3B90">
        <w:t>To ensure consistency and protect public health across the UK</w:t>
      </w:r>
      <w:r w:rsidR="0081644D">
        <w:t>,</w:t>
      </w:r>
      <w:r w:rsidR="00DA3B90">
        <w:t xml:space="preserve"> the FSA are proposing a</w:t>
      </w:r>
      <w:r w:rsidR="0002540A">
        <w:t>n</w:t>
      </w:r>
      <w:r w:rsidR="00DA3B90">
        <w:t xml:space="preserve"> approach that aligns with the EU’s regulatory action. This would prevent the substitution of BPA with similarly harmful chemicals and avoid the risk of </w:t>
      </w:r>
      <w:r w:rsidR="001C76F6">
        <w:t xml:space="preserve">our internal </w:t>
      </w:r>
      <w:r w:rsidR="00DA3B90">
        <w:t>market</w:t>
      </w:r>
      <w:r w:rsidR="001C76F6">
        <w:t>s</w:t>
      </w:r>
      <w:r w:rsidR="00DA3B90">
        <w:t xml:space="preserve"> becoming a destination for non-compliant </w:t>
      </w:r>
      <w:r w:rsidR="00A809B9">
        <w:t xml:space="preserve">FCMs that are banned </w:t>
      </w:r>
      <w:r w:rsidR="007062B9">
        <w:t>elsewhere due to safety concerns</w:t>
      </w:r>
      <w:r w:rsidR="00DA3B90">
        <w:t>. It would also support industry by providing clarity and a harmonised regulatory framework across the UK.</w:t>
      </w:r>
    </w:p>
    <w:p w14:paraId="7717CDB5" w14:textId="0A84D524" w:rsidR="00C2670C" w:rsidRPr="00DA3B90" w:rsidRDefault="00C2670C" w:rsidP="00C2670C">
      <w:pPr>
        <w:pStyle w:val="Heading3"/>
      </w:pPr>
      <w:bookmarkStart w:id="29" w:name="_Toc210141713"/>
      <w:r>
        <w:t>Proposed Ban</w:t>
      </w:r>
      <w:bookmarkEnd w:id="29"/>
      <w:r w:rsidR="00761281">
        <w:t xml:space="preserve"> </w:t>
      </w:r>
    </w:p>
    <w:p w14:paraId="673B9030" w14:textId="67CD9130" w:rsidR="00C2670C" w:rsidRPr="001C3683" w:rsidRDefault="00C2670C" w:rsidP="00A816BE">
      <w:pPr>
        <w:pStyle w:val="ListParagraph"/>
        <w:numPr>
          <w:ilvl w:val="0"/>
          <w:numId w:val="17"/>
        </w:numPr>
        <w:spacing w:after="160" w:line="259" w:lineRule="auto"/>
        <w:rPr>
          <w:rFonts w:cs="Arial"/>
        </w:rPr>
      </w:pPr>
      <w:r w:rsidRPr="001C3683">
        <w:rPr>
          <w:rFonts w:cs="Arial"/>
        </w:rPr>
        <w:t xml:space="preserve">The proposed ban is expected to prohibit the use of BPA and </w:t>
      </w:r>
      <w:r w:rsidR="005E6EAD" w:rsidRPr="001C3683">
        <w:rPr>
          <w:rFonts w:cs="Arial"/>
        </w:rPr>
        <w:t>its an</w:t>
      </w:r>
      <w:r w:rsidR="000F1E55" w:rsidRPr="001C3683">
        <w:rPr>
          <w:rFonts w:cs="Arial"/>
        </w:rPr>
        <w:t>alogues</w:t>
      </w:r>
      <w:r w:rsidRPr="001C3683">
        <w:rPr>
          <w:rFonts w:cs="Arial"/>
        </w:rPr>
        <w:t xml:space="preserve"> in the manufacture of </w:t>
      </w:r>
      <w:r w:rsidR="003074D8" w:rsidRPr="001C3683">
        <w:rPr>
          <w:rFonts w:cs="Arial"/>
        </w:rPr>
        <w:t>FCM</w:t>
      </w:r>
      <w:r w:rsidRPr="001C3683">
        <w:rPr>
          <w:rFonts w:cs="Arial"/>
        </w:rPr>
        <w:t>s such as plastics</w:t>
      </w:r>
      <w:r w:rsidR="004B47C5" w:rsidRPr="001C3683">
        <w:rPr>
          <w:rFonts w:cs="Arial"/>
        </w:rPr>
        <w:t xml:space="preserve"> (e.g. reusable</w:t>
      </w:r>
      <w:r w:rsidR="005365B0" w:rsidRPr="001C3683">
        <w:rPr>
          <w:rFonts w:cs="Arial"/>
        </w:rPr>
        <w:t xml:space="preserve"> containers and kitchenware)</w:t>
      </w:r>
      <w:r w:rsidRPr="001C3683">
        <w:rPr>
          <w:rFonts w:cs="Arial"/>
        </w:rPr>
        <w:t xml:space="preserve">, </w:t>
      </w:r>
      <w:r w:rsidR="00855D5C" w:rsidRPr="001C3683">
        <w:rPr>
          <w:rFonts w:cs="Arial"/>
        </w:rPr>
        <w:t>varnishes and coatings</w:t>
      </w:r>
      <w:r w:rsidRPr="001C3683">
        <w:rPr>
          <w:rFonts w:cs="Arial"/>
        </w:rPr>
        <w:t xml:space="preserve"> (e.g. in metal cans), adhesives, printing inks, </w:t>
      </w:r>
      <w:r w:rsidR="0062372E" w:rsidRPr="001C3683">
        <w:rPr>
          <w:rFonts w:cs="Arial"/>
        </w:rPr>
        <w:t xml:space="preserve">rubber, </w:t>
      </w:r>
      <w:r w:rsidRPr="001C3683">
        <w:rPr>
          <w:rFonts w:cs="Arial"/>
        </w:rPr>
        <w:t>silicones</w:t>
      </w:r>
      <w:r w:rsidR="00A06EAE">
        <w:rPr>
          <w:rFonts w:cs="Arial"/>
        </w:rPr>
        <w:t>,</w:t>
      </w:r>
      <w:r w:rsidR="6176130C" w:rsidRPr="001C3683">
        <w:rPr>
          <w:rFonts w:cs="Arial"/>
        </w:rPr>
        <w:t xml:space="preserve"> </w:t>
      </w:r>
      <w:r w:rsidR="005365B0" w:rsidRPr="001C3683">
        <w:rPr>
          <w:rFonts w:cs="Arial"/>
        </w:rPr>
        <w:t>ion exchange and resins</w:t>
      </w:r>
      <w:r w:rsidRPr="001C3683">
        <w:rPr>
          <w:rFonts w:cs="Arial"/>
        </w:rPr>
        <w:t>.</w:t>
      </w:r>
    </w:p>
    <w:p w14:paraId="7C416500" w14:textId="5AA5500E" w:rsidR="00024742" w:rsidRPr="00893567" w:rsidRDefault="00C2670C" w:rsidP="00A816BE">
      <w:pPr>
        <w:pStyle w:val="ListParagraph"/>
        <w:numPr>
          <w:ilvl w:val="0"/>
          <w:numId w:val="17"/>
        </w:numPr>
        <w:spacing w:after="160" w:line="259" w:lineRule="auto"/>
      </w:pPr>
      <w:r w:rsidRPr="00EE119F">
        <w:rPr>
          <w:rFonts w:cs="Arial"/>
        </w:rPr>
        <w:t xml:space="preserve">The proposed ban will apply to all newly manufactured </w:t>
      </w:r>
      <w:r w:rsidR="00741F2A">
        <w:rPr>
          <w:rFonts w:cs="Arial"/>
        </w:rPr>
        <w:t>FCM</w:t>
      </w:r>
      <w:r w:rsidRPr="00EE119F">
        <w:rPr>
          <w:rFonts w:cs="Arial"/>
        </w:rPr>
        <w:t xml:space="preserve">s containing BPA or its analogues. To support a smooth transition, </w:t>
      </w:r>
      <w:r w:rsidR="00551BFA">
        <w:rPr>
          <w:rFonts w:cs="Arial"/>
        </w:rPr>
        <w:t>we</w:t>
      </w:r>
      <w:r w:rsidR="00AF7D44" w:rsidRPr="00DB3418">
        <w:rPr>
          <w:rFonts w:cs="Arial"/>
        </w:rPr>
        <w:t xml:space="preserve"> propose to adopt similar transitional periods with the same transition end date equivalent to those set out in the EU regulation</w:t>
      </w:r>
      <w:r w:rsidR="0085573B">
        <w:rPr>
          <w:rFonts w:cs="Arial"/>
        </w:rPr>
        <w:t>.</w:t>
      </w:r>
      <w:r w:rsidR="00B652AC">
        <w:rPr>
          <w:rFonts w:cs="Arial"/>
        </w:rPr>
        <w:t xml:space="preserve"> </w:t>
      </w:r>
      <w:r w:rsidRPr="00EE119F">
        <w:rPr>
          <w:rFonts w:cs="Arial"/>
        </w:rPr>
        <w:t>These would allow the continued sale of compliant products manufactured before the ban, permit the use of existing stock for a defined period to minimise disruption, and provide extended timelines for specific uses where no safe alternatives currently exist—such as in certain filtration membranes. These measures are designed to strike a balance between protecting public health and allowing industry sufficient time to adapt.</w:t>
      </w:r>
    </w:p>
    <w:p w14:paraId="6C2EA7F3" w14:textId="3BC47B31" w:rsidR="00DA3B90" w:rsidRPr="00DA3B90" w:rsidRDefault="001D18A6" w:rsidP="00F96C70">
      <w:pPr>
        <w:pStyle w:val="Heading3"/>
      </w:pPr>
      <w:bookmarkStart w:id="30" w:name="_Toc210141714"/>
      <w:r>
        <w:t>Next Steps</w:t>
      </w:r>
      <w:bookmarkEnd w:id="30"/>
    </w:p>
    <w:p w14:paraId="7620F8EE" w14:textId="77777777" w:rsidR="00351E5F" w:rsidRPr="00351E5F" w:rsidRDefault="00B16462" w:rsidP="00351E5F">
      <w:pPr>
        <w:pStyle w:val="ListParagraph"/>
        <w:numPr>
          <w:ilvl w:val="0"/>
          <w:numId w:val="17"/>
        </w:numPr>
      </w:pPr>
      <w:r>
        <w:rPr>
          <w:rFonts w:cs="Arial"/>
        </w:rPr>
        <w:t>T</w:t>
      </w:r>
      <w:r w:rsidR="001A6F42">
        <w:rPr>
          <w:rFonts w:cs="Arial"/>
        </w:rPr>
        <w:t>his</w:t>
      </w:r>
      <w:r w:rsidR="00E74552" w:rsidRPr="00DF0C56">
        <w:rPr>
          <w:rFonts w:cs="Arial"/>
        </w:rPr>
        <w:t xml:space="preserve"> consultation outline</w:t>
      </w:r>
      <w:r w:rsidR="001C792A">
        <w:rPr>
          <w:rFonts w:cs="Arial"/>
        </w:rPr>
        <w:t>s</w:t>
      </w:r>
      <w:r w:rsidR="00E74552" w:rsidRPr="00DF0C56">
        <w:rPr>
          <w:rFonts w:cs="Arial"/>
        </w:rPr>
        <w:t xml:space="preserve"> a clear proposed path toward the prohibition of BPA in </w:t>
      </w:r>
      <w:r w:rsidR="008A4839">
        <w:rPr>
          <w:rFonts w:cs="Arial"/>
        </w:rPr>
        <w:t>FCM</w:t>
      </w:r>
      <w:r w:rsidR="00E74552" w:rsidRPr="00DF0C56">
        <w:rPr>
          <w:rFonts w:cs="Arial"/>
        </w:rPr>
        <w:t>s. We welcome submission of robust evidence that may support an alternative approach. We deeply value the insights and expertise of stakeholders, whose contributions play a vital role in shaping evidence-based, balanced, and effective policy decisions. Your engagement in this process is essential to ensuring that all perspectives are considered.</w:t>
      </w:r>
    </w:p>
    <w:p w14:paraId="5F7DC321" w14:textId="1049258E" w:rsidR="00A608C2" w:rsidRPr="0051587B" w:rsidRDefault="00952B03">
      <w:pPr>
        <w:pStyle w:val="ListParagraph"/>
        <w:numPr>
          <w:ilvl w:val="0"/>
          <w:numId w:val="17"/>
        </w:numPr>
      </w:pPr>
      <w:r w:rsidRPr="00DB3418">
        <w:rPr>
          <w:rFonts w:cs="Arial"/>
        </w:rPr>
        <w:t xml:space="preserve">Following the consultation, and taking into account the evidence and views submitted, </w:t>
      </w:r>
      <w:r w:rsidR="005F7884">
        <w:rPr>
          <w:rFonts w:cs="Arial"/>
        </w:rPr>
        <w:t>we</w:t>
      </w:r>
      <w:r w:rsidRPr="00DB3418">
        <w:rPr>
          <w:rFonts w:cs="Arial"/>
        </w:rPr>
        <w:t xml:space="preserve"> will implement</w:t>
      </w:r>
      <w:r w:rsidR="00B55EE5" w:rsidRPr="00DB3418">
        <w:rPr>
          <w:rFonts w:cs="Arial"/>
        </w:rPr>
        <w:t xml:space="preserve"> both administrative and legislative measures </w:t>
      </w:r>
      <w:r w:rsidR="00E25C21" w:rsidRPr="00DB3418">
        <w:rPr>
          <w:rFonts w:cs="Arial"/>
        </w:rPr>
        <w:t>in parallel</w:t>
      </w:r>
      <w:r w:rsidR="000F2B79" w:rsidRPr="00DB3418">
        <w:rPr>
          <w:rFonts w:cs="Arial"/>
        </w:rPr>
        <w:t xml:space="preserve">. </w:t>
      </w:r>
      <w:r w:rsidR="00E25C21" w:rsidRPr="00DB3418">
        <w:rPr>
          <w:rFonts w:cs="Arial"/>
        </w:rPr>
        <w:t>A</w:t>
      </w:r>
      <w:r w:rsidRPr="00DB3418">
        <w:rPr>
          <w:rFonts w:cs="Arial"/>
        </w:rPr>
        <w:t>dministrative measures</w:t>
      </w:r>
      <w:r w:rsidR="001F31B4" w:rsidRPr="00DB3418">
        <w:rPr>
          <w:rFonts w:cs="Arial"/>
        </w:rPr>
        <w:t xml:space="preserve"> will be </w:t>
      </w:r>
      <w:r w:rsidR="00F5299A" w:rsidRPr="00DB3418">
        <w:rPr>
          <w:rFonts w:cs="Arial"/>
        </w:rPr>
        <w:t>taken</w:t>
      </w:r>
      <w:r w:rsidR="001F31B4" w:rsidRPr="00DB3418">
        <w:rPr>
          <w:rFonts w:cs="Arial"/>
        </w:rPr>
        <w:t xml:space="preserve"> </w:t>
      </w:r>
      <w:r w:rsidR="00F300E6" w:rsidRPr="00DB3418">
        <w:rPr>
          <w:rFonts w:cs="Arial"/>
        </w:rPr>
        <w:t xml:space="preserve">in accordance with </w:t>
      </w:r>
      <w:r w:rsidR="009E41A1" w:rsidRPr="00DB3418">
        <w:rPr>
          <w:rFonts w:cs="Arial"/>
        </w:rPr>
        <w:t>A</w:t>
      </w:r>
      <w:r w:rsidR="004E376A" w:rsidRPr="00DB3418">
        <w:rPr>
          <w:rFonts w:cs="Arial"/>
        </w:rPr>
        <w:t xml:space="preserve">rticle </w:t>
      </w:r>
      <w:r w:rsidR="001F0602" w:rsidRPr="00DB3418">
        <w:rPr>
          <w:rFonts w:cs="Arial"/>
        </w:rPr>
        <w:t>12</w:t>
      </w:r>
      <w:r w:rsidR="0036638C" w:rsidRPr="00DB3418">
        <w:rPr>
          <w:rFonts w:cs="Arial"/>
        </w:rPr>
        <w:t xml:space="preserve"> (1)-(4)</w:t>
      </w:r>
      <w:r w:rsidR="004E376A" w:rsidRPr="00DB3418">
        <w:rPr>
          <w:rFonts w:cs="Arial"/>
        </w:rPr>
        <w:t xml:space="preserve"> of assimilated </w:t>
      </w:r>
      <w:hyperlink r:id="rId20" w:history="1">
        <w:r w:rsidR="00C66431" w:rsidRPr="00DB3418">
          <w:rPr>
            <w:rStyle w:val="Hyperlink"/>
            <w:rFonts w:cs="Arial"/>
          </w:rPr>
          <w:t>Regulation 1935/2004</w:t>
        </w:r>
      </w:hyperlink>
      <w:r w:rsidRPr="00DB3418">
        <w:rPr>
          <w:rFonts w:cs="Arial"/>
        </w:rPr>
        <w:t xml:space="preserve"> to modify the plastics register</w:t>
      </w:r>
      <w:r w:rsidR="001A313B" w:rsidRPr="00DB3418">
        <w:rPr>
          <w:rFonts w:cs="Arial"/>
        </w:rPr>
        <w:t xml:space="preserve"> - </w:t>
      </w:r>
      <w:r w:rsidR="00B01A91" w:rsidRPr="00DB3418">
        <w:rPr>
          <w:rFonts w:cs="Arial"/>
        </w:rPr>
        <w:t>specifically by removing BPA and its analogues from the list of authorised substances</w:t>
      </w:r>
      <w:r w:rsidRPr="00DB3418">
        <w:rPr>
          <w:rFonts w:cs="Arial"/>
        </w:rPr>
        <w:t>.</w:t>
      </w:r>
      <w:r w:rsidR="00351E5F" w:rsidRPr="00DB3418">
        <w:rPr>
          <w:rFonts w:cs="Arial"/>
        </w:rPr>
        <w:t xml:space="preserve"> </w:t>
      </w:r>
      <w:r w:rsidR="005A2B9D" w:rsidRPr="00DB3418">
        <w:rPr>
          <w:rFonts w:cs="Arial"/>
        </w:rPr>
        <w:t xml:space="preserve">At the same time, a Statutory Instrument (SI) will be drafted to amend Article 6 of assimilated </w:t>
      </w:r>
      <w:hyperlink r:id="rId21" w:history="1">
        <w:r w:rsidR="005A2B9D" w:rsidRPr="00DB3418">
          <w:rPr>
            <w:rStyle w:val="Hyperlink"/>
            <w:rFonts w:cs="Arial"/>
          </w:rPr>
          <w:t>Regulation 10/2011</w:t>
        </w:r>
      </w:hyperlink>
      <w:r w:rsidR="005A2B9D" w:rsidRPr="00DB3418">
        <w:rPr>
          <w:rFonts w:cs="Arial"/>
        </w:rPr>
        <w:t xml:space="preserve">. This amendment will introduce a new paragraph enabling transitional measures (e.g. those outlined in </w:t>
      </w:r>
      <w:r w:rsidR="005A2B9D" w:rsidRPr="00DB3418">
        <w:rPr>
          <w:rFonts w:cs="Arial"/>
          <w:b/>
          <w:bCs/>
        </w:rPr>
        <w:t>Annex B</w:t>
      </w:r>
      <w:r w:rsidR="005A2B9D" w:rsidRPr="00DB3418">
        <w:rPr>
          <w:rFonts w:cs="Arial"/>
        </w:rPr>
        <w:t xml:space="preserve">), derogations (as outlined in </w:t>
      </w:r>
      <w:r w:rsidR="005A2B9D" w:rsidRPr="00DB3418">
        <w:rPr>
          <w:rFonts w:cs="Arial"/>
          <w:b/>
          <w:bCs/>
        </w:rPr>
        <w:t>Annex C</w:t>
      </w:r>
      <w:r w:rsidR="005A2B9D" w:rsidRPr="00DB3418">
        <w:rPr>
          <w:rFonts w:cs="Arial"/>
        </w:rPr>
        <w:t xml:space="preserve">), and the revocation of assimilated </w:t>
      </w:r>
      <w:hyperlink r:id="rId22" w:history="1">
        <w:r w:rsidR="005A2B9D" w:rsidRPr="00DB3418">
          <w:rPr>
            <w:rStyle w:val="Hyperlink"/>
            <w:rFonts w:cs="Arial"/>
          </w:rPr>
          <w:t>Regulation 2018/213</w:t>
        </w:r>
      </w:hyperlink>
      <w:r w:rsidR="005A2B9D" w:rsidRPr="00DB3418">
        <w:rPr>
          <w:rFonts w:cs="Arial"/>
        </w:rPr>
        <w:t xml:space="preserve">, which currently governs the use of BPA in coatings and adhesives in food contact materials. These changes will be subject to Ministerial approval as part of the legislative process. For transparency, a </w:t>
      </w:r>
      <w:r w:rsidR="00857F2F" w:rsidRPr="00DB3418">
        <w:rPr>
          <w:rFonts w:cs="Arial"/>
        </w:rPr>
        <w:t xml:space="preserve">proposed </w:t>
      </w:r>
      <w:r w:rsidR="005A2B9D" w:rsidRPr="00DB3418">
        <w:rPr>
          <w:rFonts w:cs="Arial"/>
        </w:rPr>
        <w:t xml:space="preserve">timeline for this work is included in </w:t>
      </w:r>
      <w:r w:rsidR="005A2B9D" w:rsidRPr="00DB3418">
        <w:rPr>
          <w:rFonts w:cs="Arial"/>
          <w:b/>
          <w:bCs/>
        </w:rPr>
        <w:t>Annex D</w:t>
      </w:r>
      <w:r w:rsidR="005A2B9D" w:rsidRPr="00DB3418">
        <w:rPr>
          <w:rFonts w:cs="Arial"/>
        </w:rPr>
        <w:t xml:space="preserve"> (</w:t>
      </w:r>
      <w:r w:rsidR="00BD6F30" w:rsidRPr="00DB3418">
        <w:rPr>
          <w:rFonts w:cs="Arial"/>
        </w:rPr>
        <w:t>the</w:t>
      </w:r>
      <w:r w:rsidR="00746592" w:rsidRPr="00DB3418">
        <w:rPr>
          <w:rFonts w:cs="Arial"/>
        </w:rPr>
        <w:t>se are provisional</w:t>
      </w:r>
      <w:r w:rsidR="00BD6F30" w:rsidRPr="00DB3418">
        <w:rPr>
          <w:rFonts w:cs="Arial"/>
        </w:rPr>
        <w:t xml:space="preserve"> timelines</w:t>
      </w:r>
      <w:r w:rsidR="00746592" w:rsidRPr="00DB3418">
        <w:rPr>
          <w:rFonts w:cs="Arial"/>
        </w:rPr>
        <w:t xml:space="preserve"> and</w:t>
      </w:r>
      <w:r w:rsidR="00BD6F30" w:rsidRPr="00DB3418">
        <w:rPr>
          <w:rFonts w:cs="Arial"/>
        </w:rPr>
        <w:t xml:space="preserve"> may be</w:t>
      </w:r>
      <w:r w:rsidR="005A2B9D" w:rsidRPr="00DB3418">
        <w:rPr>
          <w:rFonts w:cs="Arial"/>
        </w:rPr>
        <w:t xml:space="preserve"> subject to change).</w:t>
      </w:r>
    </w:p>
    <w:p w14:paraId="22CCA96A" w14:textId="75943F5C" w:rsidR="00A608C2" w:rsidRPr="00DA3B90" w:rsidRDefault="00A608C2" w:rsidP="00A608C2">
      <w:pPr>
        <w:pStyle w:val="Heading3"/>
      </w:pPr>
      <w:bookmarkStart w:id="31" w:name="_Toc210141715"/>
      <w:bookmarkStart w:id="32" w:name="_Toc34638442"/>
      <w:r>
        <w:t>Impacts</w:t>
      </w:r>
      <w:bookmarkEnd w:id="31"/>
    </w:p>
    <w:p w14:paraId="412096B8" w14:textId="574C28D4" w:rsidR="008D28E9" w:rsidRPr="00CF4EAE" w:rsidRDefault="002B2126" w:rsidP="00A816BE">
      <w:pPr>
        <w:pStyle w:val="ListParagraph"/>
        <w:numPr>
          <w:ilvl w:val="0"/>
          <w:numId w:val="17"/>
        </w:numPr>
        <w:rPr>
          <w:rFonts w:cs="Arial"/>
        </w:rPr>
      </w:pPr>
      <w:r w:rsidRPr="007B6D89">
        <w:rPr>
          <w:rFonts w:cs="Arial"/>
        </w:rPr>
        <w:t>As part of the risk analysis and risk management process, the FSA has assessed the potential impacts that would result from the</w:t>
      </w:r>
      <w:r w:rsidR="7DBF1884" w:rsidRPr="007B6D89">
        <w:rPr>
          <w:rFonts w:cs="Arial"/>
        </w:rPr>
        <w:t>se</w:t>
      </w:r>
      <w:r w:rsidRPr="007B6D89">
        <w:rPr>
          <w:rFonts w:cs="Arial"/>
        </w:rPr>
        <w:t xml:space="preserve"> proposals. The</w:t>
      </w:r>
      <w:r w:rsidR="2B7C79FA" w:rsidRPr="007B6D89">
        <w:rPr>
          <w:rFonts w:cs="Arial"/>
        </w:rPr>
        <w:t xml:space="preserve"> potential</w:t>
      </w:r>
      <w:r w:rsidRPr="007B6D89">
        <w:rPr>
          <w:rFonts w:cs="Arial"/>
        </w:rPr>
        <w:t xml:space="preserve"> impacts considered included those most frequently identified when introducing or amending food law (i.e. environmental, trade, political, societal, technical feasibility, and consumer interests)</w:t>
      </w:r>
      <w:r w:rsidR="001F6BBF" w:rsidRPr="001F6BBF">
        <w:rPr>
          <w:rFonts w:cs="Arial"/>
          <w:b/>
          <w:bCs/>
        </w:rPr>
        <w:t xml:space="preserve"> </w:t>
      </w:r>
      <w:r w:rsidR="00A965F2" w:rsidRPr="00A965F2">
        <w:rPr>
          <w:rFonts w:cs="Arial"/>
          <w:b/>
          <w:bCs/>
        </w:rPr>
        <w:t>Annex A</w:t>
      </w:r>
      <w:r w:rsidRPr="00A965F2">
        <w:rPr>
          <w:rFonts w:cs="Arial"/>
          <w:b/>
          <w:bCs/>
        </w:rPr>
        <w:t>.</w:t>
      </w:r>
      <w:r w:rsidRPr="007B6D89">
        <w:rPr>
          <w:rFonts w:cs="Arial"/>
        </w:rPr>
        <w:t xml:space="preserve"> </w:t>
      </w:r>
    </w:p>
    <w:p w14:paraId="53F7A7C0" w14:textId="6234A6B2" w:rsidR="00AB4647" w:rsidRPr="008D28E9" w:rsidRDefault="00090EFA" w:rsidP="00A816BE">
      <w:pPr>
        <w:pStyle w:val="ListParagraph"/>
        <w:numPr>
          <w:ilvl w:val="0"/>
          <w:numId w:val="17"/>
        </w:numPr>
        <w:rPr>
          <w:rFonts w:cs="Arial"/>
        </w:rPr>
      </w:pPr>
      <w:r w:rsidRPr="008D28E9">
        <w:rPr>
          <w:rFonts w:cs="Arial"/>
        </w:rPr>
        <w:t>We foresee no requirement for an impact assessment based on</w:t>
      </w:r>
      <w:r w:rsidR="11953310" w:rsidRPr="008D28E9">
        <w:rPr>
          <w:rFonts w:cs="Arial"/>
        </w:rPr>
        <w:t xml:space="preserve"> </w:t>
      </w:r>
      <w:r w:rsidR="00661563" w:rsidRPr="008D28E9">
        <w:rPr>
          <w:rFonts w:cs="Arial"/>
        </w:rPr>
        <w:t>COT</w:t>
      </w:r>
      <w:r w:rsidR="00EC38A2" w:rsidRPr="008D28E9">
        <w:rPr>
          <w:rFonts w:cs="Arial"/>
        </w:rPr>
        <w:t>’s</w:t>
      </w:r>
      <w:r w:rsidR="00661563" w:rsidRPr="008D28E9">
        <w:rPr>
          <w:rFonts w:cs="Arial"/>
        </w:rPr>
        <w:t xml:space="preserve"> review of the most recent toxicological data on BPA</w:t>
      </w:r>
      <w:r w:rsidR="00AE0FEC" w:rsidRPr="008D28E9">
        <w:rPr>
          <w:rFonts w:cs="Arial"/>
        </w:rPr>
        <w:t>. The finding</w:t>
      </w:r>
      <w:r w:rsidR="00A27E16" w:rsidRPr="008D28E9">
        <w:rPr>
          <w:rFonts w:cs="Arial"/>
        </w:rPr>
        <w:t xml:space="preserve">s reinforce growing concerns about BPA’s potential to disrupt the endocrine system and negatively affect reproductive health, particularly with prolonged exposure. This scientific consensus provides a robust foundation for considering regulatory measures to prohibit the use of BPA in </w:t>
      </w:r>
      <w:r w:rsidR="00132CE0">
        <w:rPr>
          <w:rFonts w:cs="Arial"/>
        </w:rPr>
        <w:t>FCM</w:t>
      </w:r>
      <w:r w:rsidR="00A27E16" w:rsidRPr="008D28E9">
        <w:rPr>
          <w:rFonts w:cs="Arial"/>
        </w:rPr>
        <w:t>s.</w:t>
      </w:r>
    </w:p>
    <w:p w14:paraId="72B21CBF" w14:textId="61327F51" w:rsidR="000D327B" w:rsidRPr="00DB3418" w:rsidRDefault="00853363" w:rsidP="000D327B">
      <w:pPr>
        <w:pStyle w:val="ListParagraph"/>
        <w:numPr>
          <w:ilvl w:val="0"/>
          <w:numId w:val="17"/>
        </w:numPr>
      </w:pPr>
      <w:r>
        <w:t>We</w:t>
      </w:r>
      <w:r w:rsidR="000D327B" w:rsidRPr="00DB3418">
        <w:t xml:space="preserve"> are applying the precautionary principle in light of scientific evidence indicating a potential risk to human health. This principle supports timely regulatory intervention to protect public health, even where a comprehensive socio-economic impact assessment may not yet be available, particularly when the potential for harm is substantiated by credible scientific </w:t>
      </w:r>
      <w:r w:rsidR="00D258B3" w:rsidRPr="00DB3418">
        <w:t>evidence</w:t>
      </w:r>
      <w:r w:rsidR="000D327B" w:rsidRPr="00DB3418">
        <w:t>.</w:t>
      </w:r>
    </w:p>
    <w:p w14:paraId="21138E96" w14:textId="77777777" w:rsidR="00802C90" w:rsidRDefault="00B20386" w:rsidP="00A816BE">
      <w:pPr>
        <w:pStyle w:val="ListParagraph"/>
        <w:numPr>
          <w:ilvl w:val="0"/>
          <w:numId w:val="17"/>
        </w:numPr>
        <w:rPr>
          <w:rFonts w:cs="Arial"/>
        </w:rPr>
      </w:pPr>
      <w:r w:rsidRPr="008A238A">
        <w:rPr>
          <w:rFonts w:cs="Arial"/>
        </w:rPr>
        <w:t xml:space="preserve">We are proposing to proceed with a ban on BPA and </w:t>
      </w:r>
      <w:r w:rsidR="00E27E30" w:rsidRPr="008A238A">
        <w:rPr>
          <w:rFonts w:cs="Arial"/>
        </w:rPr>
        <w:t>its analogues</w:t>
      </w:r>
      <w:r w:rsidRPr="008A238A">
        <w:rPr>
          <w:rFonts w:cs="Arial"/>
        </w:rPr>
        <w:t xml:space="preserve"> with a</w:t>
      </w:r>
      <w:r w:rsidR="00F47591" w:rsidRPr="008A238A">
        <w:rPr>
          <w:rFonts w:cs="Arial"/>
        </w:rPr>
        <w:t xml:space="preserve"> </w:t>
      </w:r>
      <w:r w:rsidRPr="008A238A">
        <w:rPr>
          <w:rFonts w:cs="Arial"/>
        </w:rPr>
        <w:t>view</w:t>
      </w:r>
      <w:r w:rsidR="00FC17FF" w:rsidRPr="008A238A">
        <w:rPr>
          <w:rFonts w:cs="Arial"/>
        </w:rPr>
        <w:t xml:space="preserve"> of introducing</w:t>
      </w:r>
      <w:r w:rsidRPr="008A238A">
        <w:rPr>
          <w:rFonts w:cs="Arial"/>
        </w:rPr>
        <w:t xml:space="preserve"> transitional measures</w:t>
      </w:r>
      <w:r w:rsidR="006D2ADA" w:rsidRPr="008A238A">
        <w:rPr>
          <w:rFonts w:cs="Arial"/>
        </w:rPr>
        <w:t xml:space="preserve"> and timelines</w:t>
      </w:r>
      <w:r w:rsidRPr="008A238A">
        <w:rPr>
          <w:rFonts w:cs="Arial"/>
        </w:rPr>
        <w:t xml:space="preserve"> similar to those </w:t>
      </w:r>
      <w:r w:rsidR="004F08FB" w:rsidRPr="008A238A">
        <w:rPr>
          <w:rFonts w:cs="Arial"/>
        </w:rPr>
        <w:t xml:space="preserve">which apply </w:t>
      </w:r>
      <w:r w:rsidRPr="008A238A">
        <w:rPr>
          <w:rFonts w:cs="Arial"/>
        </w:rPr>
        <w:t>in the EU</w:t>
      </w:r>
      <w:r w:rsidR="0D8DFC84" w:rsidRPr="008A238A">
        <w:rPr>
          <w:rFonts w:cs="Arial"/>
        </w:rPr>
        <w:t xml:space="preserve"> and </w:t>
      </w:r>
      <w:r w:rsidR="004F08FB" w:rsidRPr="008A238A">
        <w:rPr>
          <w:rFonts w:cs="Arial"/>
        </w:rPr>
        <w:t>Northern Ireland</w:t>
      </w:r>
      <w:r w:rsidRPr="008A238A">
        <w:rPr>
          <w:rFonts w:cs="Arial"/>
        </w:rPr>
        <w:t xml:space="preserve"> to support industry adaptation. These will include phased implementation timelines and exemptions for specific uses where no safe alternatives exist. These steps are intended to minimise economic and supply chain disruptions while maintaining a high level of consumer safety. </w:t>
      </w:r>
    </w:p>
    <w:p w14:paraId="61E61D99" w14:textId="56339EA7" w:rsidR="00951293" w:rsidRPr="00DB3418" w:rsidRDefault="00951293" w:rsidP="00951293">
      <w:pPr>
        <w:pStyle w:val="ListParagraph"/>
        <w:numPr>
          <w:ilvl w:val="0"/>
          <w:numId w:val="17"/>
        </w:numPr>
      </w:pPr>
      <w:r w:rsidRPr="00DB3418">
        <w:t>The proposed implementation of the ban is expected to have minimal impact on businesses, as most manufacturers are already moving away from the use of BPA in food contact materials. While costs may arise from reformulation and compliance activities, these are anticipated to be manageable. Benefits include improved public health outcomes, regulatory alignment, and increased consumer trust. Transitional measures may help ease any short-term burden on businesses by providing time to adapt; however, it is expected that many will have already reformulated or taken steps to comply, and therefore the expiry of certain transitional p</w:t>
      </w:r>
      <w:r w:rsidR="00615108" w:rsidRPr="00DB3418">
        <w:t>eriods</w:t>
      </w:r>
      <w:r w:rsidR="007155C2" w:rsidRPr="00DB3418">
        <w:t xml:space="preserve"> (see </w:t>
      </w:r>
      <w:r w:rsidR="00C3319B" w:rsidRPr="00DB3418">
        <w:rPr>
          <w:b/>
          <w:bCs/>
        </w:rPr>
        <w:t>Annex A</w:t>
      </w:r>
      <w:r w:rsidR="00C3319B" w:rsidRPr="00DB3418">
        <w:t>)</w:t>
      </w:r>
      <w:r w:rsidRPr="00DB3418">
        <w:t xml:space="preserve"> is unlikely to result in significant disruption.</w:t>
      </w:r>
    </w:p>
    <w:p w14:paraId="3B91A611" w14:textId="40327D62" w:rsidR="00534E9B" w:rsidRPr="006E1667" w:rsidRDefault="0050464D" w:rsidP="006E1667">
      <w:pPr>
        <w:pStyle w:val="Heading2"/>
      </w:pPr>
      <w:bookmarkStart w:id="33" w:name="_Toc210141716"/>
      <w:r>
        <w:t xml:space="preserve">Engagement and </w:t>
      </w:r>
      <w:r w:rsidRPr="00AA62CE">
        <w:t>Consultation Process</w:t>
      </w:r>
      <w:bookmarkEnd w:id="32"/>
      <w:bookmarkEnd w:id="33"/>
    </w:p>
    <w:p w14:paraId="494F6480" w14:textId="7227FB9B" w:rsidR="00BC668B" w:rsidRPr="002D6542" w:rsidRDefault="00BC668B" w:rsidP="00A816BE">
      <w:pPr>
        <w:pStyle w:val="ListParagraph"/>
        <w:numPr>
          <w:ilvl w:val="0"/>
          <w:numId w:val="17"/>
        </w:numPr>
      </w:pPr>
      <w:r>
        <w:t>The following questions are designed to gather targeted feedback from stakeholders on the proposed ban of BPA</w:t>
      </w:r>
      <w:r w:rsidR="00EF166E">
        <w:t xml:space="preserve"> </w:t>
      </w:r>
      <w:r w:rsidR="0C57F1CE">
        <w:t>and its</w:t>
      </w:r>
      <w:r>
        <w:t xml:space="preserve"> analogues in </w:t>
      </w:r>
      <w:r w:rsidR="00BF6256">
        <w:t>FCMs</w:t>
      </w:r>
      <w:r>
        <w:t>. The consultation aims to support the implementation of this ban by identifying any robust, peer-reviewed evidence that may justify an alternative approach, as well as understanding the practical implications for industry and consumers.</w:t>
      </w:r>
    </w:p>
    <w:p w14:paraId="05CF5167" w14:textId="2AC31CEE" w:rsidR="00BC668B" w:rsidRPr="002D6542" w:rsidRDefault="00BC668B" w:rsidP="00A816BE">
      <w:pPr>
        <w:pStyle w:val="ListParagraph"/>
        <w:numPr>
          <w:ilvl w:val="0"/>
          <w:numId w:val="17"/>
        </w:numPr>
      </w:pPr>
      <w:r w:rsidRPr="002D6542">
        <w:t>We welcome detailed, evidence-based responses to the questions below. The consultation is intended to ensure a transparent, science-led process while supporting a smooth and informed transition for all affected sectors.</w:t>
      </w:r>
    </w:p>
    <w:p w14:paraId="18E5A12B" w14:textId="4E82BA66" w:rsidR="00DB3FEB" w:rsidRPr="007B6D89" w:rsidRDefault="002B2126" w:rsidP="00A816BE">
      <w:pPr>
        <w:pStyle w:val="ListParagraph"/>
        <w:numPr>
          <w:ilvl w:val="0"/>
          <w:numId w:val="17"/>
        </w:numPr>
        <w:rPr>
          <w:rFonts w:cs="Arial"/>
        </w:rPr>
      </w:pPr>
      <w:r w:rsidRPr="007B6D89">
        <w:rPr>
          <w:rFonts w:cs="Arial"/>
        </w:rPr>
        <w:t>Following the consultation process, responses will be made available on the FSA website and shared with ministers.</w:t>
      </w:r>
    </w:p>
    <w:p w14:paraId="3C649D4D" w14:textId="3378D5AF" w:rsidR="00DB3FEB" w:rsidRPr="00DB3FEB" w:rsidRDefault="00DB3FEB" w:rsidP="0050464D">
      <w:pPr>
        <w:rPr>
          <w:i/>
          <w:iCs/>
        </w:rPr>
      </w:pPr>
    </w:p>
    <w:tbl>
      <w:tblPr>
        <w:tblStyle w:val="TableGrid"/>
        <w:tblpPr w:leftFromText="180" w:rightFromText="180" w:vertAnchor="text" w:horzAnchor="margin" w:tblpY="17"/>
        <w:tblW w:w="0" w:type="auto"/>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C0DCAC" w:themeFill="accent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B61527" w14:paraId="533E07E2" w14:textId="77777777" w:rsidTr="00B61527">
        <w:trPr>
          <w:trHeight w:val="300"/>
          <w:tblHeader/>
        </w:trPr>
        <w:tc>
          <w:tcPr>
            <w:tcW w:w="9486" w:type="dxa"/>
            <w:shd w:val="clear" w:color="auto" w:fill="C0DCAC" w:themeFill="accent3"/>
            <w:tcMar>
              <w:top w:w="0" w:type="dxa"/>
            </w:tcMar>
          </w:tcPr>
          <w:p w14:paraId="7AF37307" w14:textId="77777777" w:rsidR="00DB3FEB" w:rsidRDefault="00DB3FEB" w:rsidP="00DB3FEB">
            <w:pPr>
              <w:pStyle w:val="Colouredboxheadline0"/>
              <w:framePr w:hSpace="0" w:wrap="auto" w:vAnchor="margin" w:hAnchor="text" w:yAlign="inline"/>
            </w:pPr>
            <w:bookmarkStart w:id="34" w:name="_Toc210141717"/>
            <w:r w:rsidRPr="00DB3FEB">
              <w:t>Questions asked in this consultation:</w:t>
            </w:r>
            <w:bookmarkEnd w:id="34"/>
          </w:p>
          <w:p w14:paraId="53F224B8" w14:textId="1E8515F6" w:rsidR="00AC6F22" w:rsidRPr="00E77E20" w:rsidRDefault="00AC6F22" w:rsidP="00A816BE">
            <w:pPr>
              <w:pStyle w:val="ListParagraph"/>
              <w:numPr>
                <w:ilvl w:val="1"/>
                <w:numId w:val="16"/>
              </w:numPr>
              <w:rPr>
                <w:b/>
                <w:bCs/>
              </w:rPr>
            </w:pPr>
            <w:r w:rsidRPr="00E77E20">
              <w:rPr>
                <w:rFonts w:cs="Arial"/>
                <w:b/>
                <w:bCs/>
              </w:rPr>
              <w:t xml:space="preserve">Do you have any </w:t>
            </w:r>
            <w:r w:rsidR="00D2360B" w:rsidRPr="00E77E20">
              <w:rPr>
                <w:rFonts w:cs="Arial"/>
                <w:b/>
                <w:bCs/>
              </w:rPr>
              <w:t xml:space="preserve">new </w:t>
            </w:r>
            <w:r w:rsidRPr="00E77E20">
              <w:rPr>
                <w:rFonts w:cs="Arial"/>
                <w:b/>
                <w:bCs/>
              </w:rPr>
              <w:t>scientific evidence that could support a different approach from the current scientific consensus on the health risks of BPA in food contact materials? If so, please provide full references and a summary of the findings.</w:t>
            </w:r>
          </w:p>
          <w:p w14:paraId="4C675669" w14:textId="3F85A6C9" w:rsidR="00D8599C" w:rsidRPr="00F979BC" w:rsidDel="001701D5" w:rsidRDefault="00D8599C" w:rsidP="00A816BE">
            <w:pPr>
              <w:pStyle w:val="ListParagraph"/>
              <w:numPr>
                <w:ilvl w:val="1"/>
                <w:numId w:val="16"/>
              </w:numPr>
              <w:rPr>
                <w:rFonts w:cs="Arial"/>
                <w:b/>
                <w:bCs/>
              </w:rPr>
            </w:pPr>
            <w:r w:rsidRPr="00F979BC">
              <w:rPr>
                <w:b/>
                <w:bCs/>
              </w:rPr>
              <w:t xml:space="preserve">Do you have any new scientific evidence regarding the toxicity or health risks of BPA analogues used in food contact materials, especially in comparison to BPA? </w:t>
            </w:r>
            <w:r w:rsidRPr="00F979BC">
              <w:rPr>
                <w:rFonts w:cs="Arial"/>
                <w:b/>
                <w:bCs/>
              </w:rPr>
              <w:t>(Please provide full references and a summary of findings.)</w:t>
            </w:r>
          </w:p>
          <w:p w14:paraId="26356FEA" w14:textId="6ABF622C" w:rsidR="00C04CA3" w:rsidRPr="00F979BC" w:rsidRDefault="00175CC6" w:rsidP="00A816BE">
            <w:pPr>
              <w:pStyle w:val="ListParagraph"/>
              <w:numPr>
                <w:ilvl w:val="1"/>
                <w:numId w:val="16"/>
              </w:numPr>
              <w:rPr>
                <w:rFonts w:cs="Arial"/>
                <w:b/>
                <w:bCs/>
              </w:rPr>
            </w:pPr>
            <w:r w:rsidRPr="00F979BC">
              <w:rPr>
                <w:b/>
                <w:bCs/>
              </w:rPr>
              <w:t xml:space="preserve">Are there specific uses of BPA or </w:t>
            </w:r>
            <w:r w:rsidR="00C96992" w:rsidRPr="00F979BC">
              <w:rPr>
                <w:rFonts w:cs="Arial"/>
                <w:b/>
                <w:bCs/>
              </w:rPr>
              <w:t>other bisphenols</w:t>
            </w:r>
            <w:r w:rsidRPr="00F979BC">
              <w:rPr>
                <w:rFonts w:cs="Arial"/>
                <w:b/>
                <w:bCs/>
              </w:rPr>
              <w:t xml:space="preserve"> in food contact materials where a ban would present significant and unavoidable challenges?</w:t>
            </w:r>
            <w:r w:rsidRPr="00F979BC">
              <w:rPr>
                <w:rFonts w:cs="Arial"/>
                <w:b/>
                <w:bCs/>
              </w:rPr>
              <w:br/>
              <w:t>(If so, please provide detailed evidence and justification.)</w:t>
            </w:r>
          </w:p>
          <w:p w14:paraId="76B8EB7C" w14:textId="0C3FDAC0" w:rsidR="006A2706" w:rsidRPr="00F979BC" w:rsidRDefault="00C04CA3" w:rsidP="00A816BE">
            <w:pPr>
              <w:pStyle w:val="ListParagraph"/>
              <w:numPr>
                <w:ilvl w:val="1"/>
                <w:numId w:val="16"/>
              </w:numPr>
              <w:rPr>
                <w:rFonts w:cs="Arial"/>
                <w:b/>
                <w:bCs/>
              </w:rPr>
            </w:pPr>
            <w:r w:rsidRPr="00F979BC">
              <w:rPr>
                <w:b/>
                <w:bCs/>
              </w:rPr>
              <w:t>Have you conducted or are you aware of any industry studies or trials that demonstrate the feasibility or challenges of transitioning away from BPA and related substances?</w:t>
            </w:r>
            <w:r w:rsidRPr="00F979BC">
              <w:rPr>
                <w:b/>
                <w:bCs/>
              </w:rPr>
              <w:br/>
            </w:r>
            <w:r w:rsidR="00DB457F" w:rsidRPr="00F979BC">
              <w:rPr>
                <w:b/>
                <w:bCs/>
              </w:rPr>
              <w:t>(</w:t>
            </w:r>
            <w:r w:rsidRPr="00F979BC">
              <w:rPr>
                <w:b/>
                <w:bCs/>
              </w:rPr>
              <w:t>Please share findings, including timelines, costs, and outcomes</w:t>
            </w:r>
            <w:r w:rsidR="00DB457F" w:rsidRPr="00F979BC">
              <w:rPr>
                <w:b/>
                <w:bCs/>
              </w:rPr>
              <w:t>)</w:t>
            </w:r>
            <w:r w:rsidRPr="00F979BC">
              <w:rPr>
                <w:b/>
                <w:bCs/>
              </w:rPr>
              <w:t>.</w:t>
            </w:r>
          </w:p>
          <w:p w14:paraId="2A92DE24" w14:textId="5FF92301" w:rsidR="00D5570D" w:rsidRPr="00F979BC" w:rsidRDefault="00E52DE5" w:rsidP="00A816BE">
            <w:pPr>
              <w:pStyle w:val="ListParagraph"/>
              <w:numPr>
                <w:ilvl w:val="1"/>
                <w:numId w:val="16"/>
              </w:numPr>
              <w:rPr>
                <w:rFonts w:cs="Arial"/>
                <w:b/>
                <w:bCs/>
              </w:rPr>
            </w:pPr>
            <w:r w:rsidRPr="00F979BC">
              <w:rPr>
                <w:b/>
                <w:bCs/>
              </w:rPr>
              <w:t xml:space="preserve">What challenges do you foresee in implementing a ban on BPA and related substances? </w:t>
            </w:r>
            <w:r w:rsidR="00627254" w:rsidRPr="00F979BC">
              <w:rPr>
                <w:b/>
                <w:bCs/>
              </w:rPr>
              <w:t>(</w:t>
            </w:r>
            <w:r w:rsidRPr="00F979BC">
              <w:rPr>
                <w:b/>
                <w:bCs/>
              </w:rPr>
              <w:t>Please describe any technical, economic, or supply chain issues</w:t>
            </w:r>
            <w:r w:rsidR="00627254" w:rsidRPr="00F979BC">
              <w:rPr>
                <w:b/>
                <w:bCs/>
              </w:rPr>
              <w:t>)</w:t>
            </w:r>
            <w:r w:rsidRPr="00F979BC">
              <w:rPr>
                <w:b/>
                <w:bCs/>
              </w:rPr>
              <w:t>.</w:t>
            </w:r>
          </w:p>
          <w:p w14:paraId="1B13F4B7" w14:textId="07930E0F" w:rsidR="008537DD" w:rsidRPr="00F979BC" w:rsidRDefault="008537DD" w:rsidP="00A816BE">
            <w:pPr>
              <w:pStyle w:val="ListParagraph"/>
              <w:numPr>
                <w:ilvl w:val="1"/>
                <w:numId w:val="16"/>
              </w:numPr>
              <w:rPr>
                <w:rFonts w:cs="Arial"/>
                <w:b/>
                <w:bCs/>
              </w:rPr>
            </w:pPr>
            <w:r w:rsidRPr="00F979BC">
              <w:rPr>
                <w:b/>
                <w:bCs/>
              </w:rPr>
              <w:t>We are intending to align our transitional periods and derogations with those of the EU (as outlined in Annex B) to help prevent the UK market from being flooded with non-compliant products. Do you have any objections to this proposed approach?</w:t>
            </w:r>
          </w:p>
          <w:p w14:paraId="4788AB5E" w14:textId="25803A4D" w:rsidR="0079683F" w:rsidRPr="00F979BC" w:rsidRDefault="0079683F" w:rsidP="00A816BE">
            <w:pPr>
              <w:pStyle w:val="ListParagraph"/>
              <w:numPr>
                <w:ilvl w:val="1"/>
                <w:numId w:val="16"/>
              </w:numPr>
              <w:rPr>
                <w:rFonts w:cs="Arial"/>
                <w:b/>
                <w:bCs/>
              </w:rPr>
            </w:pPr>
            <w:r w:rsidRPr="00F979BC">
              <w:rPr>
                <w:rFonts w:cs="Arial"/>
                <w:b/>
                <w:bCs/>
              </w:rPr>
              <w:t>Do you foresee any unintended consequences (e.g. increased use of other harmful substances, cost burdens, or product shortages) resulting from a ban?</w:t>
            </w:r>
          </w:p>
          <w:p w14:paraId="4351E72D" w14:textId="66E1DE10" w:rsidR="00C90D25" w:rsidRPr="00F979BC" w:rsidRDefault="00C90D25" w:rsidP="00A816BE">
            <w:pPr>
              <w:pStyle w:val="ListParagraph"/>
              <w:numPr>
                <w:ilvl w:val="1"/>
                <w:numId w:val="16"/>
              </w:numPr>
              <w:rPr>
                <w:rFonts w:cs="Arial"/>
                <w:b/>
                <w:bCs/>
              </w:rPr>
            </w:pPr>
            <w:r w:rsidRPr="00F979BC">
              <w:rPr>
                <w:rFonts w:cs="Arial"/>
                <w:b/>
                <w:bCs/>
              </w:rPr>
              <w:t>Do you have any other</w:t>
            </w:r>
            <w:r w:rsidR="00C205BF" w:rsidRPr="00F979BC">
              <w:rPr>
                <w:rFonts w:cs="Arial"/>
                <w:b/>
                <w:bCs/>
              </w:rPr>
              <w:t xml:space="preserve"> additional</w:t>
            </w:r>
            <w:r w:rsidRPr="00F979BC">
              <w:rPr>
                <w:rFonts w:cs="Arial"/>
                <w:b/>
                <w:bCs/>
              </w:rPr>
              <w:t xml:space="preserve"> comments or evidence relevant to the proposed ban and its implementation?</w:t>
            </w:r>
          </w:p>
          <w:p w14:paraId="77BC57E2" w14:textId="0035CDBF" w:rsidR="00E63326" w:rsidRPr="00C04CA3" w:rsidRDefault="00E63326" w:rsidP="00C22358">
            <w:pPr>
              <w:spacing w:after="160" w:line="259" w:lineRule="auto"/>
              <w:rPr>
                <w:rFonts w:cs="Arial"/>
                <w:color w:val="000000" w:themeColor="text1"/>
              </w:rPr>
            </w:pPr>
          </w:p>
          <w:p w14:paraId="2C6FAC9F" w14:textId="37BC64EA" w:rsidR="009D2974" w:rsidRPr="00FB6E87" w:rsidRDefault="009D2974" w:rsidP="001A5E0D">
            <w:pPr>
              <w:pStyle w:val="ListParagraph"/>
              <w:numPr>
                <w:ilvl w:val="0"/>
                <w:numId w:val="0"/>
              </w:numPr>
              <w:spacing w:after="160" w:line="259" w:lineRule="auto"/>
              <w:ind w:left="720"/>
              <w:rPr>
                <w:rFonts w:cs="Arial"/>
              </w:rPr>
            </w:pPr>
          </w:p>
        </w:tc>
      </w:tr>
    </w:tbl>
    <w:p w14:paraId="3CAD605D" w14:textId="77777777" w:rsidR="00916338" w:rsidRPr="00916338" w:rsidRDefault="00916338" w:rsidP="002E503D">
      <w:pPr>
        <w:pStyle w:val="Heading2"/>
      </w:pPr>
      <w:bookmarkStart w:id="35" w:name="_Toc34638444"/>
      <w:bookmarkStart w:id="36" w:name="_Toc210141718"/>
      <w:r w:rsidRPr="00916338">
        <w:t>Responses</w:t>
      </w:r>
      <w:bookmarkEnd w:id="35"/>
      <w:bookmarkEnd w:id="36"/>
    </w:p>
    <w:p w14:paraId="61990384" w14:textId="1A08A84A" w:rsidR="008C0ED3" w:rsidRPr="00925B7F" w:rsidRDefault="00916338" w:rsidP="00A816BE">
      <w:pPr>
        <w:pStyle w:val="ListParagraph"/>
        <w:numPr>
          <w:ilvl w:val="0"/>
          <w:numId w:val="17"/>
        </w:numPr>
        <w:rPr>
          <w:iCs/>
        </w:rPr>
      </w:pPr>
      <w:r w:rsidRPr="00925B7F">
        <w:rPr>
          <w:iCs/>
        </w:rPr>
        <w:t xml:space="preserve">Responses are required by close </w:t>
      </w:r>
      <w:r w:rsidR="00085290" w:rsidRPr="00DB3418">
        <w:rPr>
          <w:b/>
          <w:bCs/>
          <w:iCs/>
        </w:rPr>
        <w:t>24</w:t>
      </w:r>
      <w:r w:rsidR="009E41A1" w:rsidRPr="00DB3418">
        <w:rPr>
          <w:b/>
          <w:bCs/>
          <w:iCs/>
        </w:rPr>
        <w:t xml:space="preserve"> </w:t>
      </w:r>
      <w:r w:rsidR="00200FCB" w:rsidRPr="00DB3418">
        <w:rPr>
          <w:b/>
          <w:bCs/>
          <w:iCs/>
        </w:rPr>
        <w:t>December</w:t>
      </w:r>
      <w:r w:rsidRPr="00DB3418">
        <w:rPr>
          <w:b/>
          <w:bCs/>
          <w:iCs/>
        </w:rPr>
        <w:t xml:space="preserve"> </w:t>
      </w:r>
      <w:r w:rsidR="004B0483" w:rsidRPr="00DB3418">
        <w:rPr>
          <w:b/>
          <w:bCs/>
          <w:iCs/>
        </w:rPr>
        <w:t>2025</w:t>
      </w:r>
      <w:r w:rsidR="00ED25C1" w:rsidRPr="00DB3418">
        <w:rPr>
          <w:b/>
          <w:bCs/>
          <w:iCs/>
        </w:rPr>
        <w:t xml:space="preserve"> at </w:t>
      </w:r>
      <w:r w:rsidR="00ED5C67" w:rsidRPr="00DB3418">
        <w:rPr>
          <w:b/>
          <w:bCs/>
          <w:iCs/>
        </w:rPr>
        <w:t>17:00</w:t>
      </w:r>
      <w:r w:rsidRPr="00925B7F">
        <w:rPr>
          <w:iCs/>
        </w:rPr>
        <w:t>. Please state, in your response, whether you are responding as a private individual or on behalf of an organisation/company (including details of any stakeholders your organisation represents).</w:t>
      </w:r>
    </w:p>
    <w:p w14:paraId="315FF4AE" w14:textId="01BB6DB6" w:rsidR="00C070E9" w:rsidRPr="00BF1886" w:rsidRDefault="01B59F54" w:rsidP="00A816BE">
      <w:pPr>
        <w:pStyle w:val="ListParagraph"/>
        <w:numPr>
          <w:ilvl w:val="0"/>
          <w:numId w:val="17"/>
        </w:numPr>
        <w:rPr>
          <w:iCs/>
        </w:rPr>
      </w:pPr>
      <w:r w:rsidRPr="006D5B66">
        <w:t xml:space="preserve">Please </w:t>
      </w:r>
      <w:r w:rsidR="002614DF">
        <w:t>submit responses</w:t>
      </w:r>
      <w:r w:rsidR="00087661">
        <w:t xml:space="preserve"> </w:t>
      </w:r>
      <w:r w:rsidR="00F94ED5">
        <w:t>via</w:t>
      </w:r>
      <w:r w:rsidR="0060750A">
        <w:t xml:space="preserve"> the </w:t>
      </w:r>
      <w:hyperlink r:id="rId23" w:history="1">
        <w:r w:rsidR="004D6D06" w:rsidRPr="00A139DB">
          <w:rPr>
            <w:rStyle w:val="Hyperlink"/>
          </w:rPr>
          <w:t>onlin</w:t>
        </w:r>
        <w:r w:rsidR="00D35E23" w:rsidRPr="00A139DB">
          <w:rPr>
            <w:rStyle w:val="Hyperlink"/>
          </w:rPr>
          <w:t xml:space="preserve">e </w:t>
        </w:r>
        <w:r w:rsidR="002E4C73" w:rsidRPr="00A139DB">
          <w:rPr>
            <w:rStyle w:val="Hyperlink"/>
          </w:rPr>
          <w:t>survey fo</w:t>
        </w:r>
        <w:r w:rsidR="00CF3377" w:rsidRPr="00A139DB">
          <w:rPr>
            <w:rStyle w:val="Hyperlink"/>
          </w:rPr>
          <w:t>r</w:t>
        </w:r>
        <w:r w:rsidR="009C720D" w:rsidRPr="00A139DB">
          <w:rPr>
            <w:rStyle w:val="Hyperlink"/>
          </w:rPr>
          <w:t>m</w:t>
        </w:r>
      </w:hyperlink>
      <w:r w:rsidR="00B115C6">
        <w:t>.</w:t>
      </w:r>
      <w:r w:rsidR="00733F78">
        <w:t xml:space="preserve"> </w:t>
      </w:r>
      <w:r w:rsidR="007A2CD9" w:rsidRPr="007A2CD9">
        <w:t>If this is not possible, you can email a response to: </w:t>
      </w:r>
      <w:hyperlink r:id="rId24" w:history="1">
        <w:r w:rsidR="007A2CD9" w:rsidRPr="007A2CD9">
          <w:rPr>
            <w:rStyle w:val="Hyperlink"/>
          </w:rPr>
          <w:t>FCM-BPA@food.gov.uk</w:t>
        </w:r>
      </w:hyperlink>
    </w:p>
    <w:p w14:paraId="625225A4" w14:textId="0F3743D4" w:rsidR="00591137" w:rsidRPr="003E2AD1" w:rsidRDefault="002B2126" w:rsidP="00A816BE">
      <w:pPr>
        <w:pStyle w:val="ListParagraph"/>
        <w:numPr>
          <w:ilvl w:val="0"/>
          <w:numId w:val="17"/>
        </w:numPr>
        <w:shd w:val="clear" w:color="auto" w:fill="FFFFFF" w:themeFill="background1"/>
        <w:spacing w:before="240" w:after="0"/>
        <w:rPr>
          <w:rFonts w:cs="Arial"/>
        </w:rPr>
      </w:pPr>
      <w:r w:rsidRPr="003E2AD1">
        <w:rPr>
          <w:rFonts w:eastAsia="Open Sans" w:cs="Arial"/>
        </w:rPr>
        <w:t xml:space="preserve">We aim to publish a summary of responses to this consultation </w:t>
      </w:r>
      <w:r w:rsidR="00273C57">
        <w:rPr>
          <w:rFonts w:eastAsia="Open Sans" w:cs="Arial"/>
        </w:rPr>
        <w:t>within</w:t>
      </w:r>
      <w:r w:rsidRPr="003E2AD1">
        <w:rPr>
          <w:rFonts w:eastAsia="Open Sans" w:cs="Arial"/>
        </w:rPr>
        <w:t xml:space="preserve"> 3 months of the consultation closing.</w:t>
      </w:r>
    </w:p>
    <w:p w14:paraId="1E11CB18" w14:textId="710DC8D4" w:rsidR="00591137" w:rsidRPr="00273C57" w:rsidRDefault="002B2126" w:rsidP="00A816BE">
      <w:pPr>
        <w:pStyle w:val="ListParagraph"/>
        <w:numPr>
          <w:ilvl w:val="0"/>
          <w:numId w:val="17"/>
        </w:numPr>
        <w:shd w:val="clear" w:color="auto" w:fill="FFFFFF" w:themeFill="background1"/>
        <w:spacing w:before="240" w:after="0"/>
        <w:rPr>
          <w:rFonts w:eastAsia="Open Sans" w:cs="Arial"/>
        </w:rPr>
      </w:pPr>
      <w:r w:rsidRPr="00273C57">
        <w:rPr>
          <w:rFonts w:eastAsia="Open Sans" w:cs="Arial"/>
        </w:rPr>
        <w:t xml:space="preserve">A summary of responses will be </w:t>
      </w:r>
      <w:r w:rsidR="005F5F97" w:rsidRPr="00273C57">
        <w:rPr>
          <w:rFonts w:eastAsia="Open Sans" w:cs="Arial"/>
        </w:rPr>
        <w:t xml:space="preserve">made available to </w:t>
      </w:r>
      <w:r w:rsidRPr="00273C57">
        <w:rPr>
          <w:rFonts w:eastAsia="Open Sans" w:cs="Arial"/>
        </w:rPr>
        <w:t>share with ministers in England</w:t>
      </w:r>
      <w:r w:rsidR="00F24EC0" w:rsidRPr="00273C57">
        <w:rPr>
          <w:rFonts w:eastAsia="Open Sans" w:cs="Arial"/>
        </w:rPr>
        <w:t xml:space="preserve"> and</w:t>
      </w:r>
      <w:r w:rsidRPr="00273C57">
        <w:rPr>
          <w:rFonts w:eastAsia="Open Sans" w:cs="Arial"/>
        </w:rPr>
        <w:t xml:space="preserve"> Wales.</w:t>
      </w:r>
    </w:p>
    <w:p w14:paraId="7AECA6EF" w14:textId="7662D451" w:rsidR="00CD61F5" w:rsidRPr="00CD61F5" w:rsidRDefault="00CD61F5" w:rsidP="00A816BE">
      <w:pPr>
        <w:pStyle w:val="ListParagraph"/>
        <w:numPr>
          <w:ilvl w:val="0"/>
          <w:numId w:val="17"/>
        </w:numPr>
        <w:shd w:val="clear" w:color="auto" w:fill="FFFFFF" w:themeFill="background1"/>
        <w:spacing w:before="240" w:after="0"/>
        <w:rPr>
          <w:lang w:eastAsia="en-US"/>
        </w:rPr>
      </w:pPr>
      <w:r w:rsidRPr="00591137">
        <w:rPr>
          <w:iCs/>
        </w:rPr>
        <w:t>For information on how the FSA handles your personal data, please refer to the Consultation privacy notice at</w:t>
      </w:r>
      <w:r w:rsidRPr="00591137">
        <w:rPr>
          <w:rFonts w:cs="Arial"/>
          <w:color w:val="44546A"/>
        </w:rPr>
        <w:t xml:space="preserve"> </w:t>
      </w:r>
      <w:hyperlink r:id="rId25" w:history="1">
        <w:r w:rsidRPr="00591137">
          <w:rPr>
            <w:rStyle w:val="Hyperlink"/>
            <w:rFonts w:cs="Arial"/>
          </w:rPr>
          <w:t>https://www.food.gov.uk/about-us/privacy-notice-consultations</w:t>
        </w:r>
      </w:hyperlink>
      <w:r w:rsidRPr="00591137">
        <w:rPr>
          <w:rFonts w:cs="Arial"/>
          <w:color w:val="44546A"/>
        </w:rPr>
        <w:t>’.</w:t>
      </w:r>
    </w:p>
    <w:p w14:paraId="63CD143C" w14:textId="77777777" w:rsidR="00CD61F5" w:rsidRDefault="00CD61F5" w:rsidP="00CD61F5">
      <w:pPr>
        <w:pStyle w:val="Heading2"/>
      </w:pPr>
      <w:bookmarkStart w:id="37" w:name="_Toc210141719"/>
      <w:r w:rsidRPr="00916338">
        <w:t>Further information</w:t>
      </w:r>
      <w:bookmarkEnd w:id="37"/>
    </w:p>
    <w:p w14:paraId="5CB483D5" w14:textId="6EC29145" w:rsidR="001E7388" w:rsidRDefault="00CD61F5" w:rsidP="00A816BE">
      <w:pPr>
        <w:pStyle w:val="Numbered"/>
        <w:numPr>
          <w:ilvl w:val="0"/>
          <w:numId w:val="17"/>
        </w:numPr>
      </w:pPr>
      <w:r>
        <w:t xml:space="preserve">If you require a more accessible format of this </w:t>
      </w:r>
      <w:r w:rsidR="23491E7B">
        <w:t>document,</w:t>
      </w:r>
      <w:r>
        <w:t xml:space="preserve"> please send details to the named contact for responses to this consultation and your request will be</w:t>
      </w:r>
      <w:r w:rsidR="4CC5B0B8">
        <w:t xml:space="preserve"> </w:t>
      </w:r>
      <w:r>
        <w:t>considered.</w:t>
      </w:r>
    </w:p>
    <w:p w14:paraId="58623DE4" w14:textId="77777777" w:rsidR="002E512F" w:rsidRPr="002E512F" w:rsidRDefault="00CD61F5" w:rsidP="00A816BE">
      <w:pPr>
        <w:pStyle w:val="Numbered"/>
        <w:numPr>
          <w:ilvl w:val="0"/>
          <w:numId w:val="17"/>
        </w:numPr>
      </w:pPr>
      <w:r w:rsidRPr="001E7388">
        <w:rPr>
          <w:bCs/>
          <w:iCs/>
        </w:rPr>
        <w:t xml:space="preserve">This consultation has been prepared in accordance with </w:t>
      </w:r>
      <w:hyperlink r:id="rId26" w:history="1">
        <w:r w:rsidRPr="001E7388">
          <w:rPr>
            <w:rStyle w:val="Hyperlink"/>
            <w:bCs/>
            <w:iCs/>
          </w:rPr>
          <w:t>HM Government consultation principles</w:t>
        </w:r>
      </w:hyperlink>
      <w:r w:rsidRPr="001E7388">
        <w:rPr>
          <w:bCs/>
          <w:iCs/>
        </w:rPr>
        <w:t>.</w:t>
      </w:r>
    </w:p>
    <w:p w14:paraId="038A9B6F" w14:textId="59316E53" w:rsidR="00916338" w:rsidRPr="002E512F" w:rsidRDefault="00916338" w:rsidP="00A816BE">
      <w:pPr>
        <w:pStyle w:val="Numbered"/>
        <w:numPr>
          <w:ilvl w:val="0"/>
          <w:numId w:val="17"/>
        </w:numPr>
      </w:pPr>
      <w:r w:rsidRPr="002E512F">
        <w:rPr>
          <w:iCs/>
        </w:rPr>
        <w:t>Thank you on behalf of the Food Standards Agency for participating in this public consultation.</w:t>
      </w:r>
    </w:p>
    <w:p w14:paraId="77799F7A" w14:textId="77777777" w:rsidR="00780EEB" w:rsidRPr="00916338" w:rsidRDefault="00780EEB" w:rsidP="00916338">
      <w:pPr>
        <w:rPr>
          <w:iCs/>
        </w:rPr>
      </w:pPr>
    </w:p>
    <w:p w14:paraId="0FE80754" w14:textId="77777777" w:rsidR="00CD61F5" w:rsidRPr="006E3711" w:rsidRDefault="002B2126" w:rsidP="00CD61F5">
      <w:pPr>
        <w:rPr>
          <w:b/>
          <w:bCs/>
          <w:iCs/>
        </w:rPr>
      </w:pPr>
      <w:bookmarkStart w:id="38" w:name="_Toc34638448"/>
      <w:r w:rsidRPr="006E3711">
        <w:rPr>
          <w:b/>
          <w:bCs/>
          <w:iCs/>
        </w:rPr>
        <w:t>Food Contact Materials Team</w:t>
      </w:r>
    </w:p>
    <w:p w14:paraId="536DECAB" w14:textId="5C20E31F" w:rsidR="009A0FCA" w:rsidRDefault="009A0FCA" w:rsidP="007351C7">
      <w:pPr>
        <w:pStyle w:val="Heading1"/>
      </w:pPr>
      <w:bookmarkStart w:id="39" w:name="_Toc34638449"/>
      <w:bookmarkStart w:id="40" w:name="_Toc210141720"/>
      <w:bookmarkStart w:id="41" w:name="_Toc347144968"/>
      <w:bookmarkStart w:id="42" w:name="_Toc505854890"/>
      <w:bookmarkEnd w:id="3"/>
      <w:bookmarkEnd w:id="4"/>
      <w:bookmarkEnd w:id="38"/>
      <w:r w:rsidRPr="005D60B5">
        <w:t xml:space="preserve">Annex </w:t>
      </w:r>
      <w:r w:rsidR="00CD61F5">
        <w:t>A</w:t>
      </w:r>
      <w:r w:rsidRPr="005D60B5">
        <w:t xml:space="preserve">: </w:t>
      </w:r>
      <w:bookmarkEnd w:id="39"/>
      <w:r w:rsidR="00FD1563">
        <w:t>Background</w:t>
      </w:r>
      <w:bookmarkEnd w:id="40"/>
    </w:p>
    <w:p w14:paraId="6130F427" w14:textId="75742168" w:rsidR="00B874C5" w:rsidRPr="00B17B97" w:rsidRDefault="00B874C5" w:rsidP="00B874C5">
      <w:pPr>
        <w:rPr>
          <w:rFonts w:cs="Arial"/>
        </w:rPr>
      </w:pPr>
      <w:r w:rsidRPr="00B17B97">
        <w:rPr>
          <w:rFonts w:cs="Arial"/>
        </w:rPr>
        <w:t>Bisphenol A (BPA) has been widely used in the manufacturing of various food contact materials, including varnishes, coatings, and polycarbonate plastics. Its primary applications include lining metal packaging, such as cans and lids, and producing large-scale food storage equipment. BPA's ability to create strong, durable, and heat-resistant materials made it a popular choice in the food industry. However, long-standing concerns about its potential health effects, including its impact on male reproduction and the immune system, have led to sustained scrutiny and regulatory reviews.</w:t>
      </w:r>
    </w:p>
    <w:p w14:paraId="3B9A2591" w14:textId="79923E05" w:rsidR="00B874C5" w:rsidRPr="00B17B97" w:rsidRDefault="00B874C5" w:rsidP="00B874C5">
      <w:pPr>
        <w:rPr>
          <w:rFonts w:cs="Arial"/>
        </w:rPr>
      </w:pPr>
      <w:r w:rsidRPr="00B17B97">
        <w:rPr>
          <w:rFonts w:cs="Arial"/>
        </w:rPr>
        <w:t>In recent years, the safety of BPA has been extensively reviewed by several regulatory bodies, including the European Food Safety Authority (EFSA) and the German Federal Institute for Risk Assessment (</w:t>
      </w:r>
      <w:proofErr w:type="spellStart"/>
      <w:r w:rsidRPr="00B17B97">
        <w:rPr>
          <w:rFonts w:cs="Arial"/>
        </w:rPr>
        <w:t>BfR</w:t>
      </w:r>
      <w:proofErr w:type="spellEnd"/>
      <w:r w:rsidRPr="00B17B97">
        <w:rPr>
          <w:rFonts w:cs="Arial"/>
        </w:rPr>
        <w:t xml:space="preserve">). These reviews highlighted the potential risks associated with BPA exposure, leading to stricter regulations in Europe. The FSA following its own risk analysis process, has also evaluated the safety of BPA through the independent UK Committee on Toxicity of Chemicals in Food, Consumer products and the Environment (COT). The COT reviewed the scientific basis and implications for risk management of the new EFSA Tolerable Daily Intake (TDI) for BPA, and the subsequent assessment of BPA by the </w:t>
      </w:r>
      <w:proofErr w:type="spellStart"/>
      <w:r w:rsidRPr="00B17B97">
        <w:rPr>
          <w:rFonts w:cs="Arial"/>
        </w:rPr>
        <w:t>BfR</w:t>
      </w:r>
      <w:proofErr w:type="spellEnd"/>
      <w:r w:rsidRPr="00B17B97">
        <w:rPr>
          <w:rFonts w:cs="Arial"/>
        </w:rPr>
        <w:t xml:space="preserve"> in 2023. A </w:t>
      </w:r>
      <w:hyperlink r:id="rId27">
        <w:r w:rsidRPr="00B17B97">
          <w:rPr>
            <w:rStyle w:val="Hyperlink"/>
            <w:rFonts w:cs="Arial"/>
          </w:rPr>
          <w:t>position paper</w:t>
        </w:r>
      </w:hyperlink>
      <w:r w:rsidRPr="00B17B97">
        <w:rPr>
          <w:rFonts w:cs="Arial"/>
        </w:rPr>
        <w:t xml:space="preserve"> on BPA was published in June 2024 explaining COT’s approach. The other bisphenols and bisphenol derivatives were not included in the COT safety assessment; however, the wider bisphenol family are considered typically to be highly structurally related to BPA and so raise similar concerns as those for BPA. The COT played a crucial role in assessing the scientific evidence and recommending precautionary measures.</w:t>
      </w:r>
    </w:p>
    <w:p w14:paraId="715D08C8" w14:textId="44001647" w:rsidR="00B874C5" w:rsidRPr="00B17B97" w:rsidRDefault="00B874C5" w:rsidP="00B874C5">
      <w:pPr>
        <w:rPr>
          <w:rFonts w:cs="Arial"/>
        </w:rPr>
      </w:pPr>
      <w:r w:rsidRPr="00E973CD">
        <w:rPr>
          <w:rFonts w:cs="Arial"/>
        </w:rPr>
        <w:t xml:space="preserve">The EU has since adopted </w:t>
      </w:r>
      <w:hyperlink r:id="rId28">
        <w:r w:rsidRPr="228202D3">
          <w:rPr>
            <w:rStyle w:val="Hyperlink"/>
            <w:rFonts w:cs="Arial"/>
          </w:rPr>
          <w:t>Commission Regulation 2024/3190</w:t>
        </w:r>
      </w:hyperlink>
      <w:r w:rsidRPr="00E973CD">
        <w:rPr>
          <w:rFonts w:cs="Arial"/>
        </w:rPr>
        <w:t xml:space="preserve">, </w:t>
      </w:r>
      <w:r>
        <w:rPr>
          <w:rFonts w:cs="Arial"/>
        </w:rPr>
        <w:t>prohibiting</w:t>
      </w:r>
      <w:r w:rsidRPr="00E973CD">
        <w:rPr>
          <w:rFonts w:cs="Arial"/>
        </w:rPr>
        <w:t xml:space="preserve"> BPA</w:t>
      </w:r>
      <w:r w:rsidR="2F64B717" w:rsidRPr="5DFD3A8C">
        <w:rPr>
          <w:rFonts w:cs="Arial"/>
        </w:rPr>
        <w:t xml:space="preserve">, </w:t>
      </w:r>
      <w:r w:rsidRPr="00E973CD">
        <w:rPr>
          <w:rFonts w:cs="Arial"/>
        </w:rPr>
        <w:t xml:space="preserve">other hazardous </w:t>
      </w:r>
      <w:r w:rsidRPr="083D3110">
        <w:rPr>
          <w:rFonts w:cs="Arial"/>
        </w:rPr>
        <w:t>bisphenols</w:t>
      </w:r>
      <w:r w:rsidR="53783A29" w:rsidRPr="083D3110">
        <w:rPr>
          <w:rFonts w:cs="Arial"/>
        </w:rPr>
        <w:t xml:space="preserve"> </w:t>
      </w:r>
      <w:r w:rsidR="21FE7421" w:rsidRPr="083D3110">
        <w:rPr>
          <w:rFonts w:cs="Arial"/>
        </w:rPr>
        <w:t>and</w:t>
      </w:r>
      <w:r w:rsidR="21FE7421" w:rsidRPr="6FB20C8C">
        <w:rPr>
          <w:rFonts w:cs="Arial"/>
        </w:rPr>
        <w:t xml:space="preserve"> </w:t>
      </w:r>
      <w:r w:rsidR="21FE7421" w:rsidRPr="5B92455A">
        <w:rPr>
          <w:rFonts w:cs="Arial"/>
        </w:rPr>
        <w:t xml:space="preserve">hazardous </w:t>
      </w:r>
      <w:r w:rsidR="21FE7421" w:rsidRPr="0C508D51">
        <w:rPr>
          <w:rFonts w:cs="Arial"/>
        </w:rPr>
        <w:t xml:space="preserve">bisphenol </w:t>
      </w:r>
      <w:r w:rsidR="0516D7C2" w:rsidRPr="2F1F5D5A">
        <w:rPr>
          <w:rFonts w:cs="Arial"/>
        </w:rPr>
        <w:t>derivatives</w:t>
      </w:r>
      <w:r w:rsidRPr="6FB20C8C">
        <w:rPr>
          <w:rFonts w:cs="Arial"/>
        </w:rPr>
        <w:t xml:space="preserve"> in FCMs.</w:t>
      </w:r>
      <w:r w:rsidRPr="00E973CD">
        <w:rPr>
          <w:rFonts w:cs="Arial"/>
        </w:rPr>
        <w:t xml:space="preserve"> This regulation came into force </w:t>
      </w:r>
      <w:r>
        <w:rPr>
          <w:rFonts w:cs="Arial"/>
        </w:rPr>
        <w:t>in</w:t>
      </w:r>
      <w:r w:rsidRPr="00E973CD">
        <w:rPr>
          <w:rFonts w:cs="Arial"/>
        </w:rPr>
        <w:t xml:space="preserve"> January 2025 and applies in Northern Ireland under Windsor Framework arrangements.</w:t>
      </w:r>
      <w:r>
        <w:rPr>
          <w:rFonts w:cs="Arial"/>
        </w:rPr>
        <w:t xml:space="preserve"> Following this t</w:t>
      </w:r>
      <w:r w:rsidRPr="00AB1061">
        <w:rPr>
          <w:rFonts w:cs="Arial"/>
        </w:rPr>
        <w:t>he FSA propose</w:t>
      </w:r>
      <w:r w:rsidR="005237E6">
        <w:rPr>
          <w:rFonts w:cs="Arial"/>
        </w:rPr>
        <w:t>s</w:t>
      </w:r>
      <w:r w:rsidRPr="00AB1061">
        <w:rPr>
          <w:rFonts w:cs="Arial"/>
        </w:rPr>
        <w:t xml:space="preserve"> a</w:t>
      </w:r>
      <w:r w:rsidR="0019544B">
        <w:rPr>
          <w:rFonts w:cs="Arial"/>
        </w:rPr>
        <w:t>n</w:t>
      </w:r>
      <w:r w:rsidRPr="00AB1061">
        <w:rPr>
          <w:rFonts w:cs="Arial"/>
        </w:rPr>
        <w:t xml:space="preserve"> approach </w:t>
      </w:r>
      <w:r w:rsidR="00FB4FB2">
        <w:rPr>
          <w:rFonts w:cs="Arial"/>
        </w:rPr>
        <w:t>geared at</w:t>
      </w:r>
      <w:r w:rsidRPr="00AB1061">
        <w:rPr>
          <w:rFonts w:cs="Arial"/>
        </w:rPr>
        <w:t xml:space="preserve"> prevent</w:t>
      </w:r>
      <w:r w:rsidR="00FB4FB2">
        <w:rPr>
          <w:rFonts w:cs="Arial"/>
        </w:rPr>
        <w:t>ing</w:t>
      </w:r>
      <w:r w:rsidRPr="00AB1061">
        <w:rPr>
          <w:rFonts w:cs="Arial"/>
        </w:rPr>
        <w:t xml:space="preserve"> substitution with similarly harmful chemicals and to align with the latest scientific evidence, thereby enhancing consumer protection</w:t>
      </w:r>
      <w:r>
        <w:rPr>
          <w:rFonts w:cs="Arial"/>
        </w:rPr>
        <w:t xml:space="preserve"> UK wide</w:t>
      </w:r>
      <w:r w:rsidRPr="00AB1061">
        <w:rPr>
          <w:rFonts w:cs="Arial"/>
        </w:rPr>
        <w:t>.</w:t>
      </w:r>
      <w:r>
        <w:rPr>
          <w:rFonts w:cs="Arial"/>
        </w:rPr>
        <w:t xml:space="preserve"> </w:t>
      </w:r>
    </w:p>
    <w:p w14:paraId="1926DD31" w14:textId="77777777" w:rsidR="00B874C5" w:rsidRPr="00B17B97" w:rsidRDefault="00B874C5" w:rsidP="00146482">
      <w:pPr>
        <w:pStyle w:val="Heading2"/>
        <w:rPr>
          <w:rFonts w:cs="Arial"/>
          <w:b w:val="0"/>
          <w:u w:val="single"/>
        </w:rPr>
      </w:pPr>
      <w:bookmarkStart w:id="43" w:name="_Toc210141721"/>
      <w:r w:rsidRPr="00BD0E1E">
        <w:t>Northern Ireland Position</w:t>
      </w:r>
      <w:bookmarkEnd w:id="43"/>
    </w:p>
    <w:p w14:paraId="03005016" w14:textId="0456188B" w:rsidR="00B874C5" w:rsidRDefault="4116CD91" w:rsidP="00B874C5">
      <w:pPr>
        <w:pStyle w:val="NormalWeb"/>
        <w:rPr>
          <w:rFonts w:ascii="Arial" w:hAnsi="Arial" w:cs="Arial"/>
        </w:rPr>
      </w:pPr>
      <w:r w:rsidRPr="7C2F5F8F">
        <w:rPr>
          <w:rFonts w:ascii="Arial" w:hAnsi="Arial" w:cs="Arial"/>
        </w:rPr>
        <w:t xml:space="preserve">The EU recently announced a ban on BPA and other similar bisphenols, effective from January 2025. This ban prohibits the use of BPA </w:t>
      </w:r>
      <w:r w:rsidRPr="7C2F5F8F">
        <w:rPr>
          <w:rFonts w:ascii="Arial" w:eastAsia="Arial" w:hAnsi="Arial" w:cs="Arial"/>
        </w:rPr>
        <w:t xml:space="preserve">and other chemicals in the wider bisphenol family </w:t>
      </w:r>
      <w:r w:rsidRPr="7C2F5F8F">
        <w:rPr>
          <w:rFonts w:ascii="Arial" w:hAnsi="Arial" w:cs="Arial"/>
        </w:rPr>
        <w:t xml:space="preserve">in various food contact materials such as plastics, coatings, adhesives, and more. </w:t>
      </w:r>
      <w:hyperlink r:id="rId29">
        <w:r w:rsidRPr="7C2F5F8F">
          <w:rPr>
            <w:rStyle w:val="Hyperlink"/>
            <w:rFonts w:ascii="Arial" w:hAnsi="Arial" w:cs="Arial"/>
          </w:rPr>
          <w:t>Commission Regulation (EU) 2024/3190</w:t>
        </w:r>
      </w:hyperlink>
      <w:r w:rsidRPr="7C2F5F8F">
        <w:rPr>
          <w:rFonts w:ascii="Arial" w:hAnsi="Arial" w:cs="Arial"/>
        </w:rPr>
        <w:t>, specifically bans the use and trade of BPA, its salts, and other hazardous bisphenols in food contact materials across the EU</w:t>
      </w:r>
      <w:r w:rsidR="2422BC49" w:rsidRPr="7C2F5F8F">
        <w:rPr>
          <w:rFonts w:ascii="Arial" w:hAnsi="Arial" w:cs="Arial"/>
        </w:rPr>
        <w:t xml:space="preserve">. </w:t>
      </w:r>
      <w:r w:rsidRPr="7C2F5F8F">
        <w:rPr>
          <w:rFonts w:ascii="Arial" w:hAnsi="Arial" w:cs="Arial"/>
        </w:rPr>
        <w:t xml:space="preserve"> This includes items like epoxy resins for coatings in metal food and drink cans, and durable plastics for reusable drink bottles. For most products there </w:t>
      </w:r>
      <w:r w:rsidR="5174CC64" w:rsidRPr="7C2F5F8F">
        <w:rPr>
          <w:rFonts w:ascii="Arial" w:hAnsi="Arial" w:cs="Arial"/>
        </w:rPr>
        <w:t>is</w:t>
      </w:r>
      <w:r w:rsidRPr="7C2F5F8F">
        <w:rPr>
          <w:rFonts w:ascii="Arial" w:hAnsi="Arial" w:cs="Arial"/>
        </w:rPr>
        <w:t xml:space="preserve"> an 18-month transition period to allow industry time to adapt to the changes.  Under Windsor Framework arrangements, th</w:t>
      </w:r>
      <w:r w:rsidR="3F24F43D" w:rsidRPr="7C2F5F8F">
        <w:rPr>
          <w:rFonts w:ascii="Arial" w:hAnsi="Arial" w:cs="Arial"/>
        </w:rPr>
        <w:t xml:space="preserve">is </w:t>
      </w:r>
      <w:r w:rsidRPr="7C2F5F8F">
        <w:rPr>
          <w:rFonts w:ascii="Arial" w:hAnsi="Arial" w:cs="Arial"/>
        </w:rPr>
        <w:t xml:space="preserve">ban on BPA applies in Northern Ireland. </w:t>
      </w:r>
    </w:p>
    <w:p w14:paraId="0E0AB1BD" w14:textId="0C8CF942" w:rsidR="00DD5281" w:rsidRDefault="00DD5281" w:rsidP="00146482">
      <w:pPr>
        <w:pStyle w:val="Heading2"/>
      </w:pPr>
      <w:bookmarkStart w:id="44" w:name="_Toc210141722"/>
      <w:r w:rsidRPr="00DB3418">
        <w:t>Policy Options – Considerations</w:t>
      </w:r>
      <w:bookmarkEnd w:id="44"/>
    </w:p>
    <w:tbl>
      <w:tblPr>
        <w:tblStyle w:val="TableGrid"/>
        <w:tblW w:w="0" w:type="auto"/>
        <w:tblLook w:val="04A0" w:firstRow="1" w:lastRow="0" w:firstColumn="1" w:lastColumn="0" w:noHBand="0" w:noVBand="1"/>
      </w:tblPr>
      <w:tblGrid>
        <w:gridCol w:w="1695"/>
        <w:gridCol w:w="2217"/>
        <w:gridCol w:w="3046"/>
        <w:gridCol w:w="2528"/>
      </w:tblGrid>
      <w:tr w:rsidR="00144D15" w:rsidRPr="0082703E" w14:paraId="736BA229" w14:textId="77777777">
        <w:tc>
          <w:tcPr>
            <w:tcW w:w="0" w:type="auto"/>
            <w:hideMark/>
          </w:tcPr>
          <w:p w14:paraId="3B4C06EF" w14:textId="77777777" w:rsidR="00144D15" w:rsidRPr="0082703E" w:rsidRDefault="00144D15">
            <w:pPr>
              <w:spacing w:after="160" w:line="259" w:lineRule="auto"/>
              <w:rPr>
                <w:rFonts w:cs="Arial"/>
                <w:b/>
                <w:bCs/>
              </w:rPr>
            </w:pPr>
            <w:r w:rsidRPr="0082703E">
              <w:rPr>
                <w:rFonts w:cs="Arial"/>
                <w:b/>
                <w:bCs/>
              </w:rPr>
              <w:t>Option</w:t>
            </w:r>
          </w:p>
        </w:tc>
        <w:tc>
          <w:tcPr>
            <w:tcW w:w="0" w:type="auto"/>
            <w:hideMark/>
          </w:tcPr>
          <w:p w14:paraId="6EB2CB2C" w14:textId="77777777" w:rsidR="00144D15" w:rsidRPr="0082703E" w:rsidRDefault="00144D15">
            <w:pPr>
              <w:spacing w:after="160" w:line="259" w:lineRule="auto"/>
              <w:rPr>
                <w:rFonts w:cs="Arial"/>
                <w:b/>
                <w:bCs/>
              </w:rPr>
            </w:pPr>
            <w:r w:rsidRPr="0082703E">
              <w:rPr>
                <w:rFonts w:cs="Arial"/>
                <w:b/>
                <w:bCs/>
              </w:rPr>
              <w:t>Summary</w:t>
            </w:r>
          </w:p>
        </w:tc>
        <w:tc>
          <w:tcPr>
            <w:tcW w:w="0" w:type="auto"/>
            <w:hideMark/>
          </w:tcPr>
          <w:p w14:paraId="5C295AB5" w14:textId="77777777" w:rsidR="00144D15" w:rsidRPr="0082703E" w:rsidRDefault="00144D15">
            <w:pPr>
              <w:spacing w:after="160" w:line="259" w:lineRule="auto"/>
              <w:rPr>
                <w:rFonts w:cs="Arial"/>
                <w:b/>
                <w:bCs/>
              </w:rPr>
            </w:pPr>
            <w:r w:rsidRPr="0082703E">
              <w:rPr>
                <w:rFonts w:cs="Arial"/>
                <w:b/>
                <w:bCs/>
              </w:rPr>
              <w:t>Implications</w:t>
            </w:r>
          </w:p>
        </w:tc>
        <w:tc>
          <w:tcPr>
            <w:tcW w:w="0" w:type="auto"/>
            <w:hideMark/>
          </w:tcPr>
          <w:p w14:paraId="3989B82E" w14:textId="77777777" w:rsidR="00144D15" w:rsidRPr="0082703E" w:rsidRDefault="00144D15">
            <w:pPr>
              <w:spacing w:after="160" w:line="259" w:lineRule="auto"/>
              <w:rPr>
                <w:rFonts w:cs="Arial"/>
                <w:b/>
                <w:bCs/>
              </w:rPr>
            </w:pPr>
            <w:r w:rsidRPr="0082703E">
              <w:rPr>
                <w:rFonts w:cs="Arial"/>
                <w:b/>
                <w:bCs/>
              </w:rPr>
              <w:t>Risk Management Assessment</w:t>
            </w:r>
          </w:p>
        </w:tc>
      </w:tr>
      <w:tr w:rsidR="00144D15" w:rsidRPr="0082703E" w14:paraId="38052C8A" w14:textId="77777777">
        <w:tc>
          <w:tcPr>
            <w:tcW w:w="0" w:type="auto"/>
            <w:hideMark/>
          </w:tcPr>
          <w:p w14:paraId="0338FCDA" w14:textId="77777777" w:rsidR="00144D15" w:rsidRPr="0082703E" w:rsidRDefault="00144D15">
            <w:pPr>
              <w:spacing w:after="160" w:line="259" w:lineRule="auto"/>
              <w:rPr>
                <w:rFonts w:cs="Arial"/>
                <w:b/>
                <w:bCs/>
              </w:rPr>
            </w:pPr>
            <w:r w:rsidRPr="0082703E">
              <w:rPr>
                <w:rFonts w:cs="Arial"/>
                <w:b/>
                <w:bCs/>
              </w:rPr>
              <w:t>Option 1: Taking No Immediate Action</w:t>
            </w:r>
          </w:p>
        </w:tc>
        <w:tc>
          <w:tcPr>
            <w:tcW w:w="0" w:type="auto"/>
            <w:hideMark/>
          </w:tcPr>
          <w:p w14:paraId="3C48F7B6" w14:textId="77777777" w:rsidR="00144D15" w:rsidRPr="0082703E" w:rsidRDefault="00144D15">
            <w:pPr>
              <w:spacing w:after="160" w:line="259" w:lineRule="auto"/>
              <w:rPr>
                <w:rFonts w:cs="Arial"/>
              </w:rPr>
            </w:pPr>
            <w:r w:rsidRPr="0082703E">
              <w:rPr>
                <w:rFonts w:cs="Arial"/>
              </w:rPr>
              <w:t>Maintain the status quo; allow continued use of BPA and its analogues in food contact materials.</w:t>
            </w:r>
          </w:p>
        </w:tc>
        <w:tc>
          <w:tcPr>
            <w:tcW w:w="0" w:type="auto"/>
            <w:hideMark/>
          </w:tcPr>
          <w:p w14:paraId="5653C3A8" w14:textId="55A65537" w:rsidR="00144D15" w:rsidRPr="0082703E" w:rsidRDefault="00144D15">
            <w:pPr>
              <w:spacing w:after="160" w:line="259" w:lineRule="auto"/>
              <w:rPr>
                <w:rFonts w:cs="Arial"/>
              </w:rPr>
            </w:pPr>
            <w:r w:rsidRPr="0082703E">
              <w:rPr>
                <w:rFonts w:cs="Arial"/>
              </w:rPr>
              <w:t>Public Health: Fails to mitigate known health risks (e.g. endocrine disruption, reproductive toxicity)</w:t>
            </w:r>
            <w:r>
              <w:rPr>
                <w:rFonts w:cs="Arial"/>
              </w:rPr>
              <w:t xml:space="preserve"> and undermines </w:t>
            </w:r>
            <w:r w:rsidR="00693EE1">
              <w:rPr>
                <w:rFonts w:cs="Arial"/>
              </w:rPr>
              <w:t>our</w:t>
            </w:r>
            <w:r>
              <w:rPr>
                <w:rFonts w:cs="Arial"/>
              </w:rPr>
              <w:t xml:space="preserve"> commitment to high food safety standards</w:t>
            </w:r>
            <w:r w:rsidRPr="0082703E">
              <w:rPr>
                <w:rFonts w:cs="Arial"/>
              </w:rPr>
              <w:t>.</w:t>
            </w:r>
            <w:r w:rsidRPr="0082703E">
              <w:rPr>
                <w:rFonts w:cs="Arial"/>
              </w:rPr>
              <w:br/>
              <w:t xml:space="preserve">Regulatory Lag: </w:t>
            </w:r>
            <w:r w:rsidR="00693EE1">
              <w:rPr>
                <w:rFonts w:cs="Arial"/>
              </w:rPr>
              <w:t>We</w:t>
            </w:r>
            <w:r>
              <w:rPr>
                <w:rFonts w:cs="Arial"/>
              </w:rPr>
              <w:t xml:space="preserve"> will</w:t>
            </w:r>
            <w:r w:rsidRPr="0082703E">
              <w:rPr>
                <w:rFonts w:cs="Arial"/>
              </w:rPr>
              <w:t xml:space="preserve"> fall behind international developments (e.g. EU)</w:t>
            </w:r>
            <w:r>
              <w:rPr>
                <w:rFonts w:cs="Arial"/>
              </w:rPr>
              <w:t xml:space="preserve"> risking misalignment with key trading partners</w:t>
            </w:r>
            <w:r w:rsidRPr="0082703E">
              <w:rPr>
                <w:rFonts w:cs="Arial"/>
              </w:rPr>
              <w:t>.</w:t>
            </w:r>
            <w:r w:rsidRPr="0082703E">
              <w:rPr>
                <w:rFonts w:cs="Arial"/>
              </w:rPr>
              <w:br/>
              <w:t>Reputational Risk: May erode public trust in regulatory responsiveness.</w:t>
            </w:r>
            <w:r w:rsidRPr="0082703E">
              <w:rPr>
                <w:rFonts w:cs="Arial"/>
              </w:rPr>
              <w:br/>
              <w:t>Trade Considerations: Potential friction with stricter trading partners.</w:t>
            </w:r>
          </w:p>
        </w:tc>
        <w:tc>
          <w:tcPr>
            <w:tcW w:w="0" w:type="auto"/>
            <w:hideMark/>
          </w:tcPr>
          <w:p w14:paraId="6685D9E6" w14:textId="77777777" w:rsidR="00144D15" w:rsidRPr="0082703E" w:rsidRDefault="00144D15">
            <w:pPr>
              <w:spacing w:after="160" w:line="259" w:lineRule="auto"/>
              <w:rPr>
                <w:rFonts w:cs="Arial"/>
              </w:rPr>
            </w:pPr>
            <w:r w:rsidRPr="0082703E">
              <w:rPr>
                <w:rFonts w:cs="Arial"/>
              </w:rPr>
              <w:t>Low intervention, high residual risk.</w:t>
            </w:r>
            <w:r w:rsidRPr="0082703E">
              <w:rPr>
                <w:rFonts w:cs="Arial"/>
              </w:rPr>
              <w:br/>
              <w:t xml:space="preserve">May be </w:t>
            </w:r>
            <w:r>
              <w:rPr>
                <w:rFonts w:cs="Arial"/>
              </w:rPr>
              <w:t>defensible only as a temporary holding position pending</w:t>
            </w:r>
            <w:r w:rsidRPr="0082703E">
              <w:rPr>
                <w:rFonts w:cs="Arial"/>
              </w:rPr>
              <w:t xml:space="preserve"> further evidence or stakeholder input is needed before action.</w:t>
            </w:r>
          </w:p>
        </w:tc>
      </w:tr>
      <w:tr w:rsidR="00144D15" w:rsidRPr="0082703E" w14:paraId="70BA1AD6" w14:textId="77777777">
        <w:tc>
          <w:tcPr>
            <w:tcW w:w="0" w:type="auto"/>
            <w:hideMark/>
          </w:tcPr>
          <w:p w14:paraId="398A77C2" w14:textId="77777777" w:rsidR="00144D15" w:rsidRPr="0082703E" w:rsidRDefault="00144D15">
            <w:pPr>
              <w:spacing w:after="160" w:line="259" w:lineRule="auto"/>
              <w:rPr>
                <w:rFonts w:cs="Arial"/>
                <w:b/>
                <w:bCs/>
              </w:rPr>
            </w:pPr>
            <w:r w:rsidRPr="0082703E">
              <w:rPr>
                <w:rFonts w:cs="Arial"/>
                <w:b/>
                <w:bCs/>
              </w:rPr>
              <w:t>Option 2: Banning BPA Only</w:t>
            </w:r>
          </w:p>
        </w:tc>
        <w:tc>
          <w:tcPr>
            <w:tcW w:w="0" w:type="auto"/>
            <w:hideMark/>
          </w:tcPr>
          <w:p w14:paraId="10212E36" w14:textId="77777777" w:rsidR="00144D15" w:rsidRPr="0082703E" w:rsidRDefault="00144D15">
            <w:pPr>
              <w:spacing w:after="160" w:line="259" w:lineRule="auto"/>
              <w:rPr>
                <w:rFonts w:cs="Arial"/>
              </w:rPr>
            </w:pPr>
            <w:r w:rsidRPr="0082703E">
              <w:rPr>
                <w:rFonts w:cs="Arial"/>
              </w:rPr>
              <w:t>Prohibit the use of BPA in food contact materials but allow continued use of structurally similar analogues (e.g. BPS, BPF).</w:t>
            </w:r>
          </w:p>
        </w:tc>
        <w:tc>
          <w:tcPr>
            <w:tcW w:w="0" w:type="auto"/>
            <w:hideMark/>
          </w:tcPr>
          <w:p w14:paraId="63F69433" w14:textId="77777777" w:rsidR="00144D15" w:rsidRPr="0082703E" w:rsidRDefault="00144D15">
            <w:pPr>
              <w:spacing w:after="160" w:line="259" w:lineRule="auto"/>
              <w:rPr>
                <w:rFonts w:cs="Arial"/>
              </w:rPr>
            </w:pPr>
            <w:r w:rsidRPr="0082703E">
              <w:rPr>
                <w:rFonts w:cs="Arial"/>
              </w:rPr>
              <w:t>Partial Risk Reduction: BPA risks addressed, but analogues may pose similar hazards.</w:t>
            </w:r>
            <w:r w:rsidRPr="0082703E">
              <w:rPr>
                <w:rFonts w:cs="Arial"/>
              </w:rPr>
              <w:br/>
              <w:t>Scientific Uncertainty: Analogues show endocrine-disrupting potential in emerging studies.</w:t>
            </w:r>
            <w:r w:rsidRPr="0082703E">
              <w:rPr>
                <w:rFonts w:cs="Arial"/>
              </w:rPr>
              <w:br/>
              <w:t xml:space="preserve">Regulatory Inconsistency: May appear </w:t>
            </w:r>
            <w:r>
              <w:rPr>
                <w:rFonts w:cs="Arial"/>
              </w:rPr>
              <w:t>incoherent</w:t>
            </w:r>
            <w:r w:rsidRPr="0082703E">
              <w:rPr>
                <w:rFonts w:cs="Arial"/>
              </w:rPr>
              <w:t xml:space="preserve"> if analogues are later </w:t>
            </w:r>
            <w:r>
              <w:rPr>
                <w:rFonts w:cs="Arial"/>
              </w:rPr>
              <w:t>restricted, requiring further policy revision.</w:t>
            </w:r>
          </w:p>
        </w:tc>
        <w:tc>
          <w:tcPr>
            <w:tcW w:w="0" w:type="auto"/>
            <w:hideMark/>
          </w:tcPr>
          <w:p w14:paraId="05A0466B" w14:textId="77777777" w:rsidR="00144D15" w:rsidRPr="0082703E" w:rsidRDefault="00144D15">
            <w:pPr>
              <w:spacing w:after="160" w:line="259" w:lineRule="auto"/>
              <w:rPr>
                <w:rFonts w:cs="Arial"/>
              </w:rPr>
            </w:pPr>
            <w:r w:rsidRPr="0082703E">
              <w:rPr>
                <w:rFonts w:cs="Arial"/>
              </w:rPr>
              <w:t>Moderate intervention, but risk displacement rather than elimination.</w:t>
            </w:r>
            <w:r w:rsidRPr="0082703E">
              <w:rPr>
                <w:rFonts w:cs="Arial"/>
              </w:rPr>
              <w:br/>
            </w:r>
            <w:r>
              <w:rPr>
                <w:rFonts w:cs="Arial"/>
              </w:rPr>
              <w:t>May be viewed as a short-term compromise, not a long-term solution</w:t>
            </w:r>
            <w:r w:rsidRPr="0082703E">
              <w:rPr>
                <w:rFonts w:cs="Arial"/>
              </w:rPr>
              <w:t>.</w:t>
            </w:r>
          </w:p>
        </w:tc>
      </w:tr>
      <w:tr w:rsidR="00144D15" w:rsidRPr="0082703E" w14:paraId="171EEDAE" w14:textId="77777777">
        <w:tc>
          <w:tcPr>
            <w:tcW w:w="0" w:type="auto"/>
            <w:hideMark/>
          </w:tcPr>
          <w:p w14:paraId="2EA464C7" w14:textId="77777777" w:rsidR="00144D15" w:rsidRDefault="00144D15">
            <w:pPr>
              <w:spacing w:after="160" w:line="259" w:lineRule="auto"/>
              <w:rPr>
                <w:rFonts w:cs="Arial"/>
                <w:b/>
                <w:bCs/>
              </w:rPr>
            </w:pPr>
            <w:r w:rsidRPr="0082703E">
              <w:rPr>
                <w:rFonts w:cs="Arial"/>
                <w:b/>
                <w:bCs/>
              </w:rPr>
              <w:t>Option 3: Banning BPA and Its Analogues</w:t>
            </w:r>
          </w:p>
          <w:p w14:paraId="73BAE275" w14:textId="77777777" w:rsidR="00144D15" w:rsidRPr="0082703E" w:rsidRDefault="00144D15">
            <w:pPr>
              <w:spacing w:after="160" w:line="259" w:lineRule="auto"/>
              <w:rPr>
                <w:rFonts w:cs="Arial"/>
                <w:b/>
                <w:bCs/>
              </w:rPr>
            </w:pPr>
            <w:r>
              <w:rPr>
                <w:rFonts w:cs="Arial"/>
                <w:b/>
                <w:bCs/>
              </w:rPr>
              <w:t>(Preferred Option)</w:t>
            </w:r>
          </w:p>
        </w:tc>
        <w:tc>
          <w:tcPr>
            <w:tcW w:w="0" w:type="auto"/>
            <w:hideMark/>
          </w:tcPr>
          <w:p w14:paraId="638E9D3C" w14:textId="77777777" w:rsidR="00144D15" w:rsidRPr="0082703E" w:rsidRDefault="00144D15">
            <w:pPr>
              <w:spacing w:after="160" w:line="259" w:lineRule="auto"/>
              <w:rPr>
                <w:rFonts w:cs="Arial"/>
              </w:rPr>
            </w:pPr>
            <w:r w:rsidRPr="0082703E">
              <w:rPr>
                <w:rFonts w:cs="Arial"/>
              </w:rPr>
              <w:t>Prohibit BPA and structurally similar analogues in food contact materials.</w:t>
            </w:r>
          </w:p>
        </w:tc>
        <w:tc>
          <w:tcPr>
            <w:tcW w:w="0" w:type="auto"/>
            <w:hideMark/>
          </w:tcPr>
          <w:p w14:paraId="7132F504" w14:textId="781812B7" w:rsidR="00144D15" w:rsidRPr="0082703E" w:rsidRDefault="00144D15">
            <w:pPr>
              <w:spacing w:after="160" w:line="259" w:lineRule="auto"/>
              <w:rPr>
                <w:rFonts w:cs="Arial"/>
              </w:rPr>
            </w:pPr>
            <w:r w:rsidRPr="0082703E">
              <w:rPr>
                <w:rFonts w:cs="Arial"/>
              </w:rPr>
              <w:t>Comprehensive Risk Mitigation: Strongest protection for public health and consumer confidence.</w:t>
            </w:r>
            <w:r>
              <w:br/>
            </w:r>
            <w:r w:rsidRPr="0082703E">
              <w:rPr>
                <w:rFonts w:cs="Arial"/>
              </w:rPr>
              <w:t>- Regulatory Alignment: Aligns with precautionary approaches in the EU, Canada, and others, supporting trade continuity.</w:t>
            </w:r>
            <w:r>
              <w:br/>
            </w:r>
            <w:r w:rsidRPr="0082703E">
              <w:rPr>
                <w:rFonts w:cs="Arial"/>
              </w:rPr>
              <w:t>Innovation Incentive: Encourages industry to invest in safer, sustainable alternatives.</w:t>
            </w:r>
            <w:r>
              <w:br/>
            </w:r>
            <w:r w:rsidRPr="0082703E">
              <w:rPr>
                <w:rFonts w:cs="Arial"/>
              </w:rPr>
              <w:t>Implementation Challenges: Requires stakeholder consultation, and transitional arrangements</w:t>
            </w:r>
          </w:p>
        </w:tc>
        <w:tc>
          <w:tcPr>
            <w:tcW w:w="0" w:type="auto"/>
            <w:hideMark/>
          </w:tcPr>
          <w:p w14:paraId="4AEE7BB6" w14:textId="77777777" w:rsidR="00144D15" w:rsidRDefault="00144D15">
            <w:pPr>
              <w:spacing w:after="160" w:line="259" w:lineRule="auto"/>
              <w:rPr>
                <w:rFonts w:cs="Arial"/>
              </w:rPr>
            </w:pPr>
            <w:r w:rsidRPr="0082703E">
              <w:rPr>
                <w:rFonts w:cs="Arial"/>
              </w:rPr>
              <w:t>High intervention, high public health benefit.</w:t>
            </w:r>
            <w:r>
              <w:br/>
            </w:r>
            <w:r w:rsidRPr="0082703E">
              <w:rPr>
                <w:rFonts w:cs="Arial"/>
              </w:rPr>
              <w:t xml:space="preserve">Supports a precautionary </w:t>
            </w:r>
            <w:bookmarkStart w:id="45" w:name="_Int_N8y6A4wW"/>
            <w:proofErr w:type="gramStart"/>
            <w:r w:rsidRPr="0082703E">
              <w:rPr>
                <w:rFonts w:cs="Arial"/>
              </w:rPr>
              <w:t>principle</w:t>
            </w:r>
            <w:bookmarkEnd w:id="45"/>
            <w:proofErr w:type="gramEnd"/>
            <w:r w:rsidRPr="0082703E">
              <w:rPr>
                <w:rFonts w:cs="Arial"/>
              </w:rPr>
              <w:t xml:space="preserve"> approach</w:t>
            </w:r>
            <w:r>
              <w:rPr>
                <w:rFonts w:cs="Arial"/>
              </w:rPr>
              <w:t>.</w:t>
            </w:r>
          </w:p>
          <w:p w14:paraId="3A0CC644" w14:textId="77777777" w:rsidR="00144D15" w:rsidRPr="0082703E" w:rsidRDefault="00144D15">
            <w:pPr>
              <w:spacing w:after="160" w:line="259" w:lineRule="auto"/>
              <w:rPr>
                <w:rFonts w:cs="Arial"/>
              </w:rPr>
            </w:pPr>
          </w:p>
        </w:tc>
      </w:tr>
    </w:tbl>
    <w:p w14:paraId="048DC499" w14:textId="17430AE2" w:rsidR="00A965F2" w:rsidRPr="00BD0E1E" w:rsidRDefault="00A965F2" w:rsidP="00146482">
      <w:pPr>
        <w:pStyle w:val="Heading2"/>
      </w:pPr>
      <w:bookmarkStart w:id="46" w:name="_Toc210141723"/>
      <w:r w:rsidRPr="00BD0E1E">
        <w:t>Imp</w:t>
      </w:r>
      <w:r w:rsidR="00BD0E1E" w:rsidRPr="00BD0E1E">
        <w:t>acts</w:t>
      </w:r>
      <w:bookmarkEnd w:id="46"/>
    </w:p>
    <w:p w14:paraId="2E3D9051" w14:textId="77777777" w:rsidR="00BD0E1E" w:rsidRPr="00BD0E1E" w:rsidRDefault="00BD0E1E" w:rsidP="00BD0E1E">
      <w:pPr>
        <w:rPr>
          <w:rFonts w:cs="Arial"/>
        </w:rPr>
      </w:pPr>
      <w:r w:rsidRPr="00BD0E1E">
        <w:rPr>
          <w:rFonts w:cs="Arial"/>
        </w:rPr>
        <w:t>The table below summarises the key impacts considered in the proposed ban of BPA and its analogues in food contact materials:</w:t>
      </w:r>
    </w:p>
    <w:tbl>
      <w:tblPr>
        <w:tblStyle w:val="TableGrid"/>
        <w:tblW w:w="0" w:type="auto"/>
        <w:jc w:val="center"/>
        <w:tblLook w:val="04A0" w:firstRow="1" w:lastRow="0" w:firstColumn="1" w:lastColumn="0" w:noHBand="0" w:noVBand="1"/>
      </w:tblPr>
      <w:tblGrid>
        <w:gridCol w:w="2557"/>
        <w:gridCol w:w="6516"/>
      </w:tblGrid>
      <w:tr w:rsidR="00BD0E1E" w:rsidRPr="00C16362" w14:paraId="4DDDDFA3" w14:textId="77777777" w:rsidTr="00146482">
        <w:trPr>
          <w:jc w:val="center"/>
        </w:trPr>
        <w:tc>
          <w:tcPr>
            <w:tcW w:w="2557" w:type="dxa"/>
            <w:hideMark/>
          </w:tcPr>
          <w:p w14:paraId="0AD64A45" w14:textId="77777777" w:rsidR="00BD0E1E" w:rsidRPr="00C16362" w:rsidRDefault="00BD0E1E" w:rsidP="002C75D8">
            <w:pPr>
              <w:spacing w:after="0" w:line="240" w:lineRule="auto"/>
              <w:rPr>
                <w:rFonts w:cs="Arial"/>
                <w:b/>
                <w:bCs/>
              </w:rPr>
            </w:pPr>
            <w:r w:rsidRPr="00C16362">
              <w:rPr>
                <w:rFonts w:cs="Arial"/>
                <w:b/>
                <w:bCs/>
              </w:rPr>
              <w:t>Impact Area</w:t>
            </w:r>
          </w:p>
        </w:tc>
        <w:tc>
          <w:tcPr>
            <w:tcW w:w="6516" w:type="dxa"/>
            <w:hideMark/>
          </w:tcPr>
          <w:p w14:paraId="59EC008C" w14:textId="77777777" w:rsidR="00BD0E1E" w:rsidRPr="00C16362" w:rsidRDefault="00BD0E1E" w:rsidP="002C75D8">
            <w:pPr>
              <w:spacing w:after="0" w:line="240" w:lineRule="auto"/>
              <w:rPr>
                <w:rFonts w:cs="Arial"/>
                <w:b/>
                <w:bCs/>
              </w:rPr>
            </w:pPr>
            <w:r w:rsidRPr="00C16362">
              <w:rPr>
                <w:rFonts w:cs="Arial"/>
                <w:b/>
                <w:bCs/>
              </w:rPr>
              <w:t>Key Considerations</w:t>
            </w:r>
          </w:p>
        </w:tc>
      </w:tr>
      <w:tr w:rsidR="00BD0E1E" w:rsidRPr="00C16362" w14:paraId="729DCDB5" w14:textId="77777777" w:rsidTr="00146482">
        <w:trPr>
          <w:jc w:val="center"/>
        </w:trPr>
        <w:tc>
          <w:tcPr>
            <w:tcW w:w="2557" w:type="dxa"/>
            <w:hideMark/>
          </w:tcPr>
          <w:p w14:paraId="53D955D1" w14:textId="77777777" w:rsidR="00BD0E1E" w:rsidRPr="00C16362" w:rsidRDefault="00BD0E1E" w:rsidP="002C75D8">
            <w:pPr>
              <w:spacing w:after="0" w:line="240" w:lineRule="auto"/>
              <w:rPr>
                <w:rFonts w:cs="Arial"/>
              </w:rPr>
            </w:pPr>
            <w:r w:rsidRPr="00C16362">
              <w:rPr>
                <w:rFonts w:cs="Arial"/>
                <w:b/>
                <w:bCs/>
              </w:rPr>
              <w:t>Environmental</w:t>
            </w:r>
          </w:p>
        </w:tc>
        <w:tc>
          <w:tcPr>
            <w:tcW w:w="6516" w:type="dxa"/>
            <w:hideMark/>
          </w:tcPr>
          <w:p w14:paraId="53BE1874" w14:textId="77777777" w:rsidR="00BD0E1E" w:rsidRDefault="00BD0E1E" w:rsidP="00A816BE">
            <w:pPr>
              <w:pStyle w:val="ListParagraph"/>
              <w:numPr>
                <w:ilvl w:val="0"/>
                <w:numId w:val="23"/>
              </w:numPr>
              <w:spacing w:after="0" w:line="240" w:lineRule="auto"/>
              <w:rPr>
                <w:rFonts w:cs="Arial"/>
              </w:rPr>
            </w:pPr>
            <w:r w:rsidRPr="009A5A19">
              <w:rPr>
                <w:rFonts w:cs="Arial"/>
              </w:rPr>
              <w:t xml:space="preserve">Reduces environmental contamination from BPA disposal and manufacturing. </w:t>
            </w:r>
          </w:p>
          <w:p w14:paraId="3EBCF8B3" w14:textId="77777777" w:rsidR="00BD0E1E" w:rsidRPr="009A5A19" w:rsidRDefault="00BD0E1E" w:rsidP="00A816BE">
            <w:pPr>
              <w:pStyle w:val="ListParagraph"/>
              <w:numPr>
                <w:ilvl w:val="0"/>
                <w:numId w:val="23"/>
              </w:numPr>
              <w:spacing w:after="0" w:line="240" w:lineRule="auto"/>
              <w:rPr>
                <w:rFonts w:cs="Arial"/>
              </w:rPr>
            </w:pPr>
            <w:r w:rsidRPr="009A5A19">
              <w:rPr>
                <w:rFonts w:cs="Arial"/>
              </w:rPr>
              <w:t>Supports circular economy by allowing use of existing stock to avoid waste.</w:t>
            </w:r>
          </w:p>
        </w:tc>
      </w:tr>
      <w:tr w:rsidR="00BD0E1E" w:rsidRPr="00C16362" w14:paraId="163A9F7C" w14:textId="77777777" w:rsidTr="00146482">
        <w:trPr>
          <w:jc w:val="center"/>
        </w:trPr>
        <w:tc>
          <w:tcPr>
            <w:tcW w:w="2557" w:type="dxa"/>
            <w:hideMark/>
          </w:tcPr>
          <w:p w14:paraId="2AE97B10" w14:textId="77777777" w:rsidR="00BD0E1E" w:rsidRPr="00C16362" w:rsidRDefault="00BD0E1E" w:rsidP="002C75D8">
            <w:pPr>
              <w:spacing w:after="0" w:line="240" w:lineRule="auto"/>
              <w:rPr>
                <w:rFonts w:cs="Arial"/>
              </w:rPr>
            </w:pPr>
            <w:r w:rsidRPr="00C16362">
              <w:rPr>
                <w:rFonts w:cs="Arial"/>
                <w:b/>
                <w:bCs/>
              </w:rPr>
              <w:t>Trade</w:t>
            </w:r>
          </w:p>
        </w:tc>
        <w:tc>
          <w:tcPr>
            <w:tcW w:w="6516" w:type="dxa"/>
            <w:hideMark/>
          </w:tcPr>
          <w:p w14:paraId="5A22D447" w14:textId="19DCEB86" w:rsidR="00BD0E1E" w:rsidRPr="00981F5C" w:rsidRDefault="00BD0E1E" w:rsidP="00981F5C">
            <w:pPr>
              <w:pStyle w:val="ListParagraph"/>
              <w:numPr>
                <w:ilvl w:val="0"/>
                <w:numId w:val="37"/>
              </w:numPr>
              <w:spacing w:after="0" w:line="240" w:lineRule="auto"/>
              <w:rPr>
                <w:rFonts w:cs="Arial"/>
              </w:rPr>
            </w:pPr>
            <w:r w:rsidRPr="00981F5C">
              <w:rPr>
                <w:rFonts w:cs="Arial"/>
              </w:rPr>
              <w:t>Aligns with EU/Northern Ireland regulations to ensure market consistency. Divergence could lead to trade barriers, increased compliance costs, and market fragmentation.</w:t>
            </w:r>
          </w:p>
          <w:p w14:paraId="05367BDE" w14:textId="2107E5B6" w:rsidR="00BD0E1E" w:rsidRPr="009A5A19" w:rsidRDefault="00BD0E1E" w:rsidP="00A816BE">
            <w:pPr>
              <w:pStyle w:val="ListParagraph"/>
              <w:numPr>
                <w:ilvl w:val="0"/>
                <w:numId w:val="24"/>
              </w:numPr>
              <w:spacing w:after="0" w:line="240" w:lineRule="auto"/>
              <w:rPr>
                <w:rFonts w:cs="Arial"/>
              </w:rPr>
            </w:pPr>
            <w:r w:rsidRPr="009A5A19">
              <w:rPr>
                <w:rFonts w:cs="Arial"/>
              </w:rPr>
              <w:t xml:space="preserve">Prevents </w:t>
            </w:r>
            <w:r w:rsidR="00924E0B">
              <w:rPr>
                <w:rFonts w:cs="Arial"/>
              </w:rPr>
              <w:t>our internal markets</w:t>
            </w:r>
            <w:r w:rsidRPr="009A5A19">
              <w:rPr>
                <w:rFonts w:cs="Arial"/>
              </w:rPr>
              <w:t xml:space="preserve"> from becoming a destination for non-compliant products.</w:t>
            </w:r>
          </w:p>
        </w:tc>
      </w:tr>
      <w:tr w:rsidR="00BD0E1E" w:rsidRPr="00C16362" w14:paraId="1A0940A6" w14:textId="77777777" w:rsidTr="00146482">
        <w:trPr>
          <w:jc w:val="center"/>
        </w:trPr>
        <w:tc>
          <w:tcPr>
            <w:tcW w:w="2557" w:type="dxa"/>
            <w:hideMark/>
          </w:tcPr>
          <w:p w14:paraId="636B44EA" w14:textId="77777777" w:rsidR="00BD0E1E" w:rsidRPr="00C16362" w:rsidRDefault="00BD0E1E" w:rsidP="002C75D8">
            <w:pPr>
              <w:spacing w:after="0" w:line="240" w:lineRule="auto"/>
              <w:rPr>
                <w:rFonts w:cs="Arial"/>
              </w:rPr>
            </w:pPr>
            <w:r w:rsidRPr="00C16362">
              <w:rPr>
                <w:rFonts w:cs="Arial"/>
                <w:b/>
                <w:bCs/>
              </w:rPr>
              <w:t>Technical Feasibility</w:t>
            </w:r>
          </w:p>
        </w:tc>
        <w:tc>
          <w:tcPr>
            <w:tcW w:w="6516" w:type="dxa"/>
            <w:hideMark/>
          </w:tcPr>
          <w:p w14:paraId="253F9E66" w14:textId="77777777" w:rsidR="00BD0E1E" w:rsidRDefault="00BD0E1E" w:rsidP="00A816BE">
            <w:pPr>
              <w:pStyle w:val="ListParagraph"/>
              <w:numPr>
                <w:ilvl w:val="0"/>
                <w:numId w:val="26"/>
              </w:numPr>
              <w:spacing w:after="0" w:line="240" w:lineRule="auto"/>
              <w:rPr>
                <w:rFonts w:cs="Arial"/>
              </w:rPr>
            </w:pPr>
            <w:r w:rsidRPr="003F51CA">
              <w:rPr>
                <w:rFonts w:cs="Arial"/>
              </w:rPr>
              <w:t>Industry is already transitioning away from BPA.</w:t>
            </w:r>
          </w:p>
          <w:p w14:paraId="14AC7D48" w14:textId="77777777" w:rsidR="00BD0E1E" w:rsidRPr="00EF12E0" w:rsidRDefault="00BD0E1E" w:rsidP="00A816BE">
            <w:pPr>
              <w:pStyle w:val="ListParagraph"/>
              <w:numPr>
                <w:ilvl w:val="0"/>
                <w:numId w:val="26"/>
              </w:numPr>
              <w:spacing w:after="0" w:line="240" w:lineRule="auto"/>
              <w:rPr>
                <w:rFonts w:cs="Arial"/>
              </w:rPr>
            </w:pPr>
            <w:r w:rsidRPr="00EF12E0">
              <w:rPr>
                <w:rFonts w:cs="Arial"/>
              </w:rPr>
              <w:t xml:space="preserve">A ban could accelerate innovation in safer materials but may also impose short-term costs for SMEs </w:t>
            </w:r>
          </w:p>
          <w:p w14:paraId="384EFEE9" w14:textId="77777777" w:rsidR="00BD0E1E" w:rsidRDefault="00BD0E1E" w:rsidP="00A816BE">
            <w:pPr>
              <w:pStyle w:val="ListParagraph"/>
              <w:numPr>
                <w:ilvl w:val="0"/>
                <w:numId w:val="26"/>
              </w:numPr>
              <w:spacing w:after="0" w:line="240" w:lineRule="auto"/>
              <w:rPr>
                <w:rFonts w:cs="Arial"/>
              </w:rPr>
            </w:pPr>
            <w:r w:rsidRPr="003F51CA">
              <w:rPr>
                <w:rFonts w:cs="Arial"/>
              </w:rPr>
              <w:t xml:space="preserve">Derogations provided for uses where alternatives are not yet viable. </w:t>
            </w:r>
          </w:p>
          <w:p w14:paraId="4995FC9F" w14:textId="77777777" w:rsidR="00BD0E1E" w:rsidRPr="003F51CA" w:rsidRDefault="00BD0E1E" w:rsidP="00A816BE">
            <w:pPr>
              <w:pStyle w:val="ListParagraph"/>
              <w:numPr>
                <w:ilvl w:val="0"/>
                <w:numId w:val="26"/>
              </w:numPr>
              <w:spacing w:after="0" w:line="240" w:lineRule="auto"/>
              <w:rPr>
                <w:rFonts w:cs="Arial"/>
              </w:rPr>
            </w:pPr>
            <w:r w:rsidRPr="003F51CA">
              <w:rPr>
                <w:rFonts w:cs="Arial"/>
              </w:rPr>
              <w:t>Phased timelines support reformulation and compliance.</w:t>
            </w:r>
          </w:p>
        </w:tc>
      </w:tr>
      <w:tr w:rsidR="00BD0E1E" w:rsidRPr="00C16362" w14:paraId="775B3FFA" w14:textId="77777777" w:rsidTr="00146482">
        <w:trPr>
          <w:jc w:val="center"/>
        </w:trPr>
        <w:tc>
          <w:tcPr>
            <w:tcW w:w="2557" w:type="dxa"/>
            <w:hideMark/>
          </w:tcPr>
          <w:p w14:paraId="7001CE75" w14:textId="77777777" w:rsidR="00BD0E1E" w:rsidRPr="00C16362" w:rsidRDefault="00BD0E1E" w:rsidP="002C75D8">
            <w:pPr>
              <w:spacing w:after="0" w:line="240" w:lineRule="auto"/>
              <w:rPr>
                <w:rFonts w:cs="Arial"/>
              </w:rPr>
            </w:pPr>
            <w:r w:rsidRPr="00C16362">
              <w:rPr>
                <w:rFonts w:cs="Arial"/>
                <w:b/>
                <w:bCs/>
              </w:rPr>
              <w:t>Consumer Interest</w:t>
            </w:r>
          </w:p>
        </w:tc>
        <w:tc>
          <w:tcPr>
            <w:tcW w:w="6516" w:type="dxa"/>
            <w:hideMark/>
          </w:tcPr>
          <w:p w14:paraId="105A5A83" w14:textId="77777777" w:rsidR="00BD0E1E" w:rsidRDefault="00BD0E1E" w:rsidP="00A816BE">
            <w:pPr>
              <w:pStyle w:val="ListParagraph"/>
              <w:numPr>
                <w:ilvl w:val="0"/>
                <w:numId w:val="27"/>
              </w:numPr>
              <w:spacing w:after="0" w:line="240" w:lineRule="auto"/>
              <w:rPr>
                <w:rFonts w:cs="Arial"/>
              </w:rPr>
            </w:pPr>
            <w:r w:rsidRPr="003F51CA">
              <w:rPr>
                <w:rFonts w:cs="Arial"/>
              </w:rPr>
              <w:t xml:space="preserve">Protects public health based on scientific evidence of BPA’s risks. </w:t>
            </w:r>
          </w:p>
          <w:p w14:paraId="754F1EBD" w14:textId="77777777" w:rsidR="00BD0E1E" w:rsidRPr="003F51CA" w:rsidRDefault="00BD0E1E" w:rsidP="00A816BE">
            <w:pPr>
              <w:pStyle w:val="ListParagraph"/>
              <w:numPr>
                <w:ilvl w:val="0"/>
                <w:numId w:val="27"/>
              </w:numPr>
              <w:spacing w:after="0" w:line="240" w:lineRule="auto"/>
              <w:rPr>
                <w:rFonts w:cs="Arial"/>
              </w:rPr>
            </w:pPr>
            <w:r w:rsidRPr="003F51CA">
              <w:rPr>
                <w:rFonts w:cs="Arial"/>
              </w:rPr>
              <w:t>Applies precautionary principle to enable timely intervention.</w:t>
            </w:r>
          </w:p>
        </w:tc>
      </w:tr>
    </w:tbl>
    <w:p w14:paraId="36E81FFA" w14:textId="174E4ECB" w:rsidR="00AF6AC6" w:rsidRDefault="00AF6AC6" w:rsidP="00AF6AC6"/>
    <w:p w14:paraId="27423A2A" w14:textId="3C96CEF9" w:rsidR="00B8555A" w:rsidRDefault="00AF6AC6" w:rsidP="001B0872">
      <w:pPr>
        <w:pStyle w:val="Heading1"/>
      </w:pPr>
      <w:bookmarkStart w:id="47" w:name="_Toc210141724"/>
      <w:r w:rsidRPr="00DB3418">
        <w:t xml:space="preserve">Annex </w:t>
      </w:r>
      <w:r w:rsidR="00675B03" w:rsidRPr="00DB3418">
        <w:t>B</w:t>
      </w:r>
      <w:r w:rsidRPr="00DB3418">
        <w:t xml:space="preserve">: </w:t>
      </w:r>
      <w:r w:rsidR="00B8555A" w:rsidRPr="00DB3418">
        <w:t>Transitional Mea</w:t>
      </w:r>
      <w:r w:rsidR="001B4E85" w:rsidRPr="00DB3418">
        <w:t>sures</w:t>
      </w:r>
      <w:bookmarkEnd w:id="47"/>
    </w:p>
    <w:p w14:paraId="1B80D2EC" w14:textId="2C62C26D" w:rsidR="001B0872" w:rsidRPr="007C62FB" w:rsidRDefault="007C17A3" w:rsidP="000677D6">
      <w:r w:rsidRPr="007C62FB">
        <w:rPr>
          <w:b/>
          <w:bCs/>
        </w:rPr>
        <w:t>FSA</w:t>
      </w:r>
      <w:r w:rsidR="00D36BBA" w:rsidRPr="007C62FB">
        <w:rPr>
          <w:b/>
          <w:bCs/>
        </w:rPr>
        <w:t xml:space="preserve"> Consideration</w:t>
      </w:r>
      <w:r w:rsidR="004A791B" w:rsidRPr="007C62FB">
        <w:rPr>
          <w:b/>
          <w:bCs/>
        </w:rPr>
        <w:t>s</w:t>
      </w:r>
      <w:r w:rsidR="00D36BBA" w:rsidRPr="007C62FB">
        <w:rPr>
          <w:b/>
          <w:bCs/>
        </w:rPr>
        <w:t xml:space="preserve"> </w:t>
      </w:r>
      <w:r w:rsidR="0020337B" w:rsidRPr="007C62FB">
        <w:rPr>
          <w:b/>
          <w:bCs/>
        </w:rPr>
        <w:t xml:space="preserve">for </w:t>
      </w:r>
      <w:r w:rsidR="004A791B" w:rsidRPr="007C62FB">
        <w:rPr>
          <w:b/>
          <w:bCs/>
        </w:rPr>
        <w:t>adopting</w:t>
      </w:r>
      <w:r w:rsidR="00C91BC5" w:rsidRPr="007C62FB">
        <w:rPr>
          <w:b/>
          <w:bCs/>
        </w:rPr>
        <w:t xml:space="preserve"> Transitional Periods and Derogation</w:t>
      </w:r>
      <w:r w:rsidR="001C71B0" w:rsidRPr="007C62FB">
        <w:rPr>
          <w:b/>
          <w:bCs/>
        </w:rPr>
        <w:t>s</w:t>
      </w:r>
      <w:r w:rsidR="00100014" w:rsidRPr="007C62FB">
        <w:rPr>
          <w:b/>
          <w:bCs/>
        </w:rPr>
        <w:t xml:space="preserve"> similar to those in the EU</w:t>
      </w:r>
      <w:r w:rsidR="001C71B0" w:rsidRPr="007C62FB">
        <w:rPr>
          <w:b/>
          <w:bCs/>
        </w:rPr>
        <w:t xml:space="preserve"> (</w:t>
      </w:r>
      <w:r w:rsidR="00100014" w:rsidRPr="007C62FB">
        <w:rPr>
          <w:b/>
          <w:bCs/>
        </w:rPr>
        <w:t>a</w:t>
      </w:r>
      <w:r w:rsidR="001C71B0" w:rsidRPr="007C62FB">
        <w:rPr>
          <w:b/>
          <w:bCs/>
        </w:rPr>
        <w:t>pplica</w:t>
      </w:r>
      <w:r w:rsidR="00440EF1" w:rsidRPr="007C62FB">
        <w:rPr>
          <w:b/>
          <w:bCs/>
        </w:rPr>
        <w:t>ble in Northern Ireland)</w:t>
      </w:r>
    </w:p>
    <w:p w14:paraId="5A9EB7B1" w14:textId="066FB48F" w:rsidR="00E53CFA" w:rsidRPr="00ED2A35" w:rsidRDefault="00E53CFA" w:rsidP="00E53CFA">
      <w:pPr>
        <w:spacing w:after="160" w:line="259" w:lineRule="auto"/>
        <w:rPr>
          <w:rFonts w:cs="Arial"/>
        </w:rPr>
      </w:pPr>
      <w:r w:rsidRPr="00ED2A35">
        <w:rPr>
          <w:rFonts w:cs="Arial"/>
        </w:rPr>
        <w:t>In light of the EU</w:t>
      </w:r>
      <w:r>
        <w:rPr>
          <w:rFonts w:cs="Arial"/>
        </w:rPr>
        <w:t xml:space="preserve"> </w:t>
      </w:r>
      <w:r w:rsidRPr="00ED2A35">
        <w:rPr>
          <w:rFonts w:cs="Arial"/>
        </w:rPr>
        <w:t xml:space="preserve">adoption of </w:t>
      </w:r>
      <w:hyperlink r:id="rId30" w:history="1">
        <w:r w:rsidRPr="0020337B">
          <w:rPr>
            <w:rStyle w:val="Hyperlink"/>
            <w:rFonts w:cs="Arial"/>
          </w:rPr>
          <w:t>Regulation (EU) 2024/3190</w:t>
        </w:r>
      </w:hyperlink>
      <w:r w:rsidRPr="00ED2A35">
        <w:rPr>
          <w:rFonts w:cs="Arial"/>
        </w:rPr>
        <w:t xml:space="preserve">, which restricts the use of BPA and related substances in FCMs, </w:t>
      </w:r>
      <w:r w:rsidR="007C17A3">
        <w:rPr>
          <w:rFonts w:cs="Arial"/>
        </w:rPr>
        <w:t xml:space="preserve">the FSA </w:t>
      </w:r>
      <w:r w:rsidRPr="00ED2A35">
        <w:rPr>
          <w:rFonts w:cs="Arial"/>
        </w:rPr>
        <w:t>recognises the importance of maintaining high standards of public health protection while ensuring regulatory coherence for businesses operating across both UK and EU markets.</w:t>
      </w:r>
    </w:p>
    <w:p w14:paraId="011AB447" w14:textId="7C318884" w:rsidR="00BE5A7F" w:rsidRDefault="00E53CFA" w:rsidP="00E53CFA">
      <w:pPr>
        <w:spacing w:after="160" w:line="259" w:lineRule="auto"/>
        <w:rPr>
          <w:rFonts w:cs="Arial"/>
        </w:rPr>
      </w:pPr>
      <w:r w:rsidRPr="00ED2A35">
        <w:rPr>
          <w:rFonts w:cs="Arial"/>
        </w:rPr>
        <w:t xml:space="preserve">To this end, </w:t>
      </w:r>
      <w:r w:rsidR="00B95BF4">
        <w:rPr>
          <w:rFonts w:cs="Arial"/>
        </w:rPr>
        <w:t>we are</w:t>
      </w:r>
      <w:r w:rsidRPr="00ED2A35">
        <w:rPr>
          <w:rFonts w:cs="Arial"/>
        </w:rPr>
        <w:t xml:space="preserve"> propos</w:t>
      </w:r>
      <w:r w:rsidR="00B95BF4">
        <w:rPr>
          <w:rFonts w:cs="Arial"/>
        </w:rPr>
        <w:t>ing</w:t>
      </w:r>
      <w:r w:rsidRPr="00ED2A35">
        <w:rPr>
          <w:rFonts w:cs="Arial"/>
        </w:rPr>
        <w:t xml:space="preserve"> to adopt </w:t>
      </w:r>
      <w:r w:rsidR="009F55FF">
        <w:rPr>
          <w:rFonts w:cs="Arial"/>
        </w:rPr>
        <w:t xml:space="preserve">similar </w:t>
      </w:r>
      <w:r w:rsidRPr="00ED2A35">
        <w:rPr>
          <w:rFonts w:cs="Arial"/>
        </w:rPr>
        <w:t>transitional</w:t>
      </w:r>
      <w:r w:rsidR="00F50784">
        <w:rPr>
          <w:rFonts w:cs="Arial"/>
        </w:rPr>
        <w:t xml:space="preserve"> periods</w:t>
      </w:r>
      <w:r w:rsidR="00D64C8E">
        <w:rPr>
          <w:rFonts w:cs="Arial"/>
        </w:rPr>
        <w:t xml:space="preserve"> with the same</w:t>
      </w:r>
      <w:r w:rsidR="002B79B4">
        <w:rPr>
          <w:rFonts w:cs="Arial"/>
        </w:rPr>
        <w:t xml:space="preserve"> transition end date </w:t>
      </w:r>
      <w:r w:rsidR="00075622">
        <w:rPr>
          <w:rFonts w:cs="Arial"/>
        </w:rPr>
        <w:t>equivalent</w:t>
      </w:r>
      <w:r w:rsidRPr="00ED2A35">
        <w:rPr>
          <w:rFonts w:cs="Arial"/>
        </w:rPr>
        <w:t xml:space="preserve"> to those set out in the EU regulation</w:t>
      </w:r>
      <w:r w:rsidR="00075622">
        <w:rPr>
          <w:rFonts w:cs="Arial"/>
        </w:rPr>
        <w:t>. This will</w:t>
      </w:r>
      <w:r w:rsidRPr="00ED2A35">
        <w:rPr>
          <w:rFonts w:cs="Arial"/>
        </w:rPr>
        <w:t xml:space="preserve"> provid</w:t>
      </w:r>
      <w:r w:rsidR="00075622">
        <w:rPr>
          <w:rFonts w:cs="Arial"/>
        </w:rPr>
        <w:t>e</w:t>
      </w:r>
      <w:r w:rsidRPr="00ED2A35">
        <w:rPr>
          <w:rFonts w:cs="Arial"/>
        </w:rPr>
        <w:t xml:space="preserve"> a structured and risk-based approach to implementation</w:t>
      </w:r>
      <w:r w:rsidRPr="0053518F">
        <w:rPr>
          <w:rFonts w:cs="Arial"/>
        </w:rPr>
        <w:t xml:space="preserve">. </w:t>
      </w:r>
      <w:r w:rsidR="005D52B2" w:rsidRPr="00DB3418">
        <w:rPr>
          <w:rFonts w:cs="Arial"/>
        </w:rPr>
        <w:t>While some of th</w:t>
      </w:r>
      <w:r w:rsidR="00D91BE9" w:rsidRPr="00DB3418">
        <w:rPr>
          <w:rFonts w:cs="Arial"/>
        </w:rPr>
        <w:t>e</w:t>
      </w:r>
      <w:r w:rsidR="005D52B2" w:rsidRPr="00DB3418">
        <w:rPr>
          <w:rFonts w:cs="Arial"/>
        </w:rPr>
        <w:t xml:space="preserve"> transitional period may have expired by the time </w:t>
      </w:r>
      <w:r w:rsidR="004527AB">
        <w:rPr>
          <w:rFonts w:cs="Arial"/>
        </w:rPr>
        <w:t>we</w:t>
      </w:r>
      <w:r w:rsidR="005D52B2" w:rsidRPr="00DB3418">
        <w:rPr>
          <w:rFonts w:cs="Arial"/>
        </w:rPr>
        <w:t xml:space="preserve"> implement</w:t>
      </w:r>
      <w:r w:rsidR="004527AB">
        <w:rPr>
          <w:rFonts w:cs="Arial"/>
        </w:rPr>
        <w:t xml:space="preserve"> the ban</w:t>
      </w:r>
      <w:r w:rsidR="005D52B2" w:rsidRPr="00DB3418">
        <w:rPr>
          <w:rFonts w:cs="Arial"/>
        </w:rPr>
        <w:t>, it is expected that most businesses will have already reformulated, and the market will largely have come into compliance.</w:t>
      </w:r>
    </w:p>
    <w:p w14:paraId="4B5CABF8" w14:textId="1261D224" w:rsidR="00BE5A7F" w:rsidRPr="009B26A5" w:rsidRDefault="009B26A5" w:rsidP="00E53CFA">
      <w:pPr>
        <w:spacing w:after="160" w:line="259" w:lineRule="auto"/>
        <w:rPr>
          <w:rFonts w:cs="Arial"/>
        </w:rPr>
      </w:pPr>
      <w:r w:rsidRPr="009B26A5">
        <w:rPr>
          <w:rFonts w:cs="Arial"/>
        </w:rPr>
        <w:t>Implementation will proceed following a Ministerial decision, ensuring that any regulatory changes are made with appropriate oversight and in line with domestic policy processes.</w:t>
      </w:r>
    </w:p>
    <w:p w14:paraId="15F9E4A9" w14:textId="1D7CC38B" w:rsidR="00E53CFA" w:rsidRDefault="00E53CFA" w:rsidP="00E53CFA">
      <w:pPr>
        <w:spacing w:after="160" w:line="259" w:lineRule="auto"/>
        <w:rPr>
          <w:rFonts w:cs="Arial"/>
        </w:rPr>
      </w:pPr>
      <w:r w:rsidRPr="00ED2A35">
        <w:rPr>
          <w:rFonts w:cs="Arial"/>
        </w:rPr>
        <w:t>The</w:t>
      </w:r>
      <w:r w:rsidR="009B26A5">
        <w:rPr>
          <w:rFonts w:cs="Arial"/>
        </w:rPr>
        <w:t xml:space="preserve"> transitional</w:t>
      </w:r>
      <w:r w:rsidRPr="00ED2A35">
        <w:rPr>
          <w:rFonts w:cs="Arial"/>
        </w:rPr>
        <w:t xml:space="preserve"> measures are designed to:</w:t>
      </w:r>
    </w:p>
    <w:p w14:paraId="5DD0C47C" w14:textId="62893300" w:rsidR="00E35955" w:rsidRPr="00FE535C" w:rsidRDefault="00E35955" w:rsidP="00A816BE">
      <w:pPr>
        <w:numPr>
          <w:ilvl w:val="0"/>
          <w:numId w:val="20"/>
        </w:numPr>
        <w:spacing w:after="160" w:line="259" w:lineRule="auto"/>
        <w:rPr>
          <w:rFonts w:cs="Arial"/>
        </w:rPr>
      </w:pPr>
      <w:r w:rsidRPr="00FE535C">
        <w:rPr>
          <w:rFonts w:cs="Arial"/>
        </w:rPr>
        <w:t>Ensure consistency for businesses operating across GB</w:t>
      </w:r>
      <w:r w:rsidR="47B34DD1" w:rsidRPr="0E5EC037">
        <w:rPr>
          <w:rFonts w:cs="Arial"/>
        </w:rPr>
        <w:t xml:space="preserve">, NI </w:t>
      </w:r>
      <w:r w:rsidRPr="00FE535C">
        <w:rPr>
          <w:rFonts w:cs="Arial"/>
        </w:rPr>
        <w:t xml:space="preserve">and </w:t>
      </w:r>
      <w:r w:rsidRPr="3A4D8FB3">
        <w:rPr>
          <w:rFonts w:cs="Arial"/>
        </w:rPr>
        <w:t>EU</w:t>
      </w:r>
      <w:r w:rsidR="0F1F6210" w:rsidRPr="3A4D8FB3">
        <w:rPr>
          <w:rFonts w:cs="Arial"/>
        </w:rPr>
        <w:t xml:space="preserve"> </w:t>
      </w:r>
      <w:r w:rsidRPr="3A4D8FB3">
        <w:rPr>
          <w:rFonts w:cs="Arial"/>
        </w:rPr>
        <w:t>markets</w:t>
      </w:r>
      <w:r w:rsidRPr="00FE535C">
        <w:rPr>
          <w:rFonts w:cs="Arial"/>
        </w:rPr>
        <w:t>, reducing the risk of conflicting requirements.</w:t>
      </w:r>
    </w:p>
    <w:p w14:paraId="2D0EBB9D" w14:textId="77777777" w:rsidR="00E35955" w:rsidRPr="00FE535C" w:rsidRDefault="00E35955" w:rsidP="00A816BE">
      <w:pPr>
        <w:numPr>
          <w:ilvl w:val="0"/>
          <w:numId w:val="20"/>
        </w:numPr>
        <w:spacing w:after="160" w:line="259" w:lineRule="auto"/>
        <w:rPr>
          <w:rFonts w:cs="Arial"/>
        </w:rPr>
      </w:pPr>
      <w:r w:rsidRPr="00FE535C">
        <w:rPr>
          <w:rFonts w:cs="Arial"/>
        </w:rPr>
        <w:t>Provide clear timelines for industry to plan reformulation, procurement, and compliance activities.</w:t>
      </w:r>
    </w:p>
    <w:p w14:paraId="29404576" w14:textId="77777777" w:rsidR="00E35955" w:rsidRPr="00FE535C" w:rsidRDefault="00E35955" w:rsidP="00A816BE">
      <w:pPr>
        <w:numPr>
          <w:ilvl w:val="0"/>
          <w:numId w:val="20"/>
        </w:numPr>
        <w:spacing w:after="160" w:line="259" w:lineRule="auto"/>
        <w:rPr>
          <w:rFonts w:cs="Arial"/>
        </w:rPr>
      </w:pPr>
      <w:r w:rsidRPr="00FE535C">
        <w:rPr>
          <w:rFonts w:cs="Arial"/>
        </w:rPr>
        <w:t>Prevent businesses from having to meet two different sets of rules for similar products, reducing administrative and financial strain.</w:t>
      </w:r>
    </w:p>
    <w:p w14:paraId="21B58806" w14:textId="30D03EB7" w:rsidR="00E35955" w:rsidRPr="00FE535C" w:rsidRDefault="00E35955" w:rsidP="00A816BE">
      <w:pPr>
        <w:numPr>
          <w:ilvl w:val="0"/>
          <w:numId w:val="20"/>
        </w:numPr>
        <w:spacing w:after="160" w:line="259" w:lineRule="auto"/>
        <w:rPr>
          <w:rFonts w:cs="Arial"/>
        </w:rPr>
      </w:pPr>
      <w:r w:rsidRPr="00FE535C">
        <w:rPr>
          <w:rFonts w:cs="Arial"/>
        </w:rPr>
        <w:t>Avoid unnecessary disposal of stock that becomes non-compliant in the EU</w:t>
      </w:r>
      <w:r w:rsidR="33A5F925" w:rsidRPr="3A4D8FB3">
        <w:rPr>
          <w:rFonts w:cs="Arial"/>
        </w:rPr>
        <w:t xml:space="preserve"> and </w:t>
      </w:r>
      <w:r w:rsidR="001E39F4">
        <w:rPr>
          <w:rFonts w:cs="Arial"/>
        </w:rPr>
        <w:t>NI</w:t>
      </w:r>
      <w:r w:rsidRPr="00FE535C">
        <w:rPr>
          <w:rFonts w:cs="Arial"/>
        </w:rPr>
        <w:t xml:space="preserve"> but remains usable in GB, supporting circular economy goals.</w:t>
      </w:r>
    </w:p>
    <w:p w14:paraId="4C3024F2" w14:textId="77777777" w:rsidR="00E35955" w:rsidRPr="00FE535C" w:rsidRDefault="00E35955" w:rsidP="00A816BE">
      <w:pPr>
        <w:numPr>
          <w:ilvl w:val="0"/>
          <w:numId w:val="20"/>
        </w:numPr>
        <w:spacing w:after="160" w:line="259" w:lineRule="auto"/>
        <w:rPr>
          <w:rFonts w:cs="Arial"/>
        </w:rPr>
      </w:pPr>
      <w:r w:rsidRPr="00FE535C">
        <w:rPr>
          <w:rFonts w:cs="Arial"/>
        </w:rPr>
        <w:t xml:space="preserve">Allow </w:t>
      </w:r>
      <w:r>
        <w:rPr>
          <w:rFonts w:cs="Arial"/>
        </w:rPr>
        <w:t xml:space="preserve">similar </w:t>
      </w:r>
      <w:r w:rsidRPr="00FE535C">
        <w:rPr>
          <w:rFonts w:cs="Arial"/>
        </w:rPr>
        <w:t>time</w:t>
      </w:r>
      <w:r>
        <w:rPr>
          <w:rFonts w:cs="Arial"/>
        </w:rPr>
        <w:t>lines</w:t>
      </w:r>
      <w:r w:rsidRPr="00FE535C">
        <w:rPr>
          <w:rFonts w:cs="Arial"/>
        </w:rPr>
        <w:t xml:space="preserve"> for the development, testing, and approval of safer alternatives, particularly in complex or high-risk applications.</w:t>
      </w:r>
    </w:p>
    <w:p w14:paraId="44362982" w14:textId="506AD1A6" w:rsidR="007D1864" w:rsidRPr="00E35955" w:rsidRDefault="00E35955" w:rsidP="00A816BE">
      <w:pPr>
        <w:numPr>
          <w:ilvl w:val="0"/>
          <w:numId w:val="20"/>
        </w:numPr>
        <w:spacing w:after="160" w:line="259" w:lineRule="auto"/>
        <w:rPr>
          <w:rFonts w:cs="Arial"/>
        </w:rPr>
      </w:pPr>
      <w:r w:rsidRPr="00FE535C">
        <w:rPr>
          <w:rFonts w:cs="Arial"/>
        </w:rPr>
        <w:t>Balance the need to protect public health with the practical realities of supply chains, manufacturing cycles, and infrastructure replacement.</w:t>
      </w:r>
    </w:p>
    <w:p w14:paraId="0B265C85" w14:textId="50692373" w:rsidR="002B2126" w:rsidRPr="002B3B91" w:rsidRDefault="00E53CFA" w:rsidP="002B3B91">
      <w:pPr>
        <w:spacing w:after="160" w:line="259" w:lineRule="auto"/>
        <w:rPr>
          <w:rFonts w:cs="Arial"/>
        </w:rPr>
      </w:pPr>
      <w:r w:rsidRPr="00ED2A35">
        <w:rPr>
          <w:rFonts w:cs="Arial"/>
        </w:rPr>
        <w:t>The following table outlines the proposed transitional periods for various categories of FCMs, along with the rationale for each provision.</w:t>
      </w:r>
    </w:p>
    <w:tbl>
      <w:tblPr>
        <w:tblStyle w:val="TableGrid"/>
        <w:tblW w:w="0" w:type="auto"/>
        <w:tblInd w:w="-113" w:type="dxa"/>
        <w:tblLook w:val="04A0" w:firstRow="1" w:lastRow="0" w:firstColumn="1" w:lastColumn="0" w:noHBand="0" w:noVBand="1"/>
      </w:tblPr>
      <w:tblGrid>
        <w:gridCol w:w="2094"/>
        <w:gridCol w:w="1687"/>
        <w:gridCol w:w="1096"/>
        <w:gridCol w:w="2018"/>
        <w:gridCol w:w="2704"/>
      </w:tblGrid>
      <w:tr w:rsidR="00135E08" w:rsidRPr="0090102D" w14:paraId="27E0127D" w14:textId="77777777" w:rsidTr="00135E08">
        <w:tc>
          <w:tcPr>
            <w:tcW w:w="0" w:type="auto"/>
            <w:hideMark/>
          </w:tcPr>
          <w:p w14:paraId="47227AAF" w14:textId="77777777" w:rsidR="00135E08" w:rsidRPr="0090102D" w:rsidRDefault="00135E08">
            <w:pPr>
              <w:spacing w:after="160" w:line="259" w:lineRule="auto"/>
              <w:rPr>
                <w:rFonts w:cs="Arial"/>
                <w:b/>
                <w:bCs/>
              </w:rPr>
            </w:pPr>
            <w:r w:rsidRPr="0090102D">
              <w:rPr>
                <w:rFonts w:cs="Arial"/>
                <w:b/>
                <w:bCs/>
              </w:rPr>
              <w:t>Material Type / Use Case</w:t>
            </w:r>
          </w:p>
        </w:tc>
        <w:tc>
          <w:tcPr>
            <w:tcW w:w="0" w:type="auto"/>
            <w:hideMark/>
          </w:tcPr>
          <w:p w14:paraId="10C97826" w14:textId="77777777" w:rsidR="00135E08" w:rsidRPr="0090102D" w:rsidRDefault="00135E08">
            <w:pPr>
              <w:spacing w:after="160" w:line="259" w:lineRule="auto"/>
              <w:rPr>
                <w:rFonts w:cs="Arial"/>
                <w:b/>
                <w:bCs/>
              </w:rPr>
            </w:pPr>
            <w:r w:rsidRPr="0090102D">
              <w:rPr>
                <w:rFonts w:cs="Arial"/>
                <w:b/>
                <w:bCs/>
              </w:rPr>
              <w:t>Transitional Deadline</w:t>
            </w:r>
          </w:p>
        </w:tc>
        <w:tc>
          <w:tcPr>
            <w:tcW w:w="0" w:type="auto"/>
            <w:hideMark/>
          </w:tcPr>
          <w:p w14:paraId="1C1304DA" w14:textId="77777777" w:rsidR="00135E08" w:rsidRPr="0090102D" w:rsidRDefault="00135E08">
            <w:pPr>
              <w:spacing w:after="160" w:line="259" w:lineRule="auto"/>
              <w:rPr>
                <w:rFonts w:cs="Arial"/>
                <w:b/>
                <w:bCs/>
              </w:rPr>
            </w:pPr>
            <w:r w:rsidRPr="0090102D">
              <w:rPr>
                <w:rFonts w:cs="Arial"/>
                <w:b/>
                <w:bCs/>
              </w:rPr>
              <w:t>Legal Basis</w:t>
            </w:r>
          </w:p>
        </w:tc>
        <w:tc>
          <w:tcPr>
            <w:tcW w:w="0" w:type="auto"/>
            <w:hideMark/>
          </w:tcPr>
          <w:p w14:paraId="20ADD7C5" w14:textId="202A48F9" w:rsidR="00135E08" w:rsidRPr="0090102D" w:rsidRDefault="00135E08">
            <w:pPr>
              <w:spacing w:after="160" w:line="259" w:lineRule="auto"/>
              <w:rPr>
                <w:rFonts w:cs="Arial"/>
                <w:b/>
                <w:bCs/>
              </w:rPr>
            </w:pPr>
            <w:r w:rsidRPr="0090102D">
              <w:rPr>
                <w:rFonts w:cs="Arial"/>
                <w:b/>
                <w:bCs/>
              </w:rPr>
              <w:t>Rationale</w:t>
            </w:r>
          </w:p>
        </w:tc>
        <w:tc>
          <w:tcPr>
            <w:tcW w:w="0" w:type="auto"/>
            <w:hideMark/>
          </w:tcPr>
          <w:p w14:paraId="483B595D" w14:textId="4DC778BB" w:rsidR="00135E08" w:rsidRPr="0090102D" w:rsidRDefault="00135E08">
            <w:pPr>
              <w:spacing w:after="160" w:line="259" w:lineRule="auto"/>
              <w:rPr>
                <w:rFonts w:cs="Arial"/>
                <w:b/>
                <w:bCs/>
              </w:rPr>
            </w:pPr>
            <w:r w:rsidRPr="0090102D">
              <w:rPr>
                <w:rFonts w:cs="Arial"/>
                <w:b/>
                <w:bCs/>
              </w:rPr>
              <w:t>Adaptation</w:t>
            </w:r>
          </w:p>
        </w:tc>
      </w:tr>
      <w:tr w:rsidR="00135E08" w:rsidRPr="0090102D" w14:paraId="2F966CDA" w14:textId="77777777" w:rsidTr="00135E08">
        <w:tc>
          <w:tcPr>
            <w:tcW w:w="0" w:type="auto"/>
            <w:hideMark/>
          </w:tcPr>
          <w:p w14:paraId="5A3206BF" w14:textId="77777777" w:rsidR="00135E08" w:rsidRPr="0090102D" w:rsidRDefault="00135E08">
            <w:pPr>
              <w:spacing w:after="160" w:line="259" w:lineRule="auto"/>
              <w:rPr>
                <w:rFonts w:cs="Arial"/>
              </w:rPr>
            </w:pPr>
            <w:r w:rsidRPr="0090102D">
              <w:rPr>
                <w:rFonts w:cs="Arial"/>
                <w:b/>
                <w:bCs/>
              </w:rPr>
              <w:t>Single-use final food contact articles manufactured with BPA</w:t>
            </w:r>
          </w:p>
        </w:tc>
        <w:tc>
          <w:tcPr>
            <w:tcW w:w="0" w:type="auto"/>
            <w:hideMark/>
          </w:tcPr>
          <w:p w14:paraId="4C39B636" w14:textId="77777777" w:rsidR="00135E08" w:rsidRPr="0090102D" w:rsidRDefault="00135E08">
            <w:pPr>
              <w:spacing w:after="160" w:line="259" w:lineRule="auto"/>
              <w:rPr>
                <w:rFonts w:cs="Arial"/>
              </w:rPr>
            </w:pPr>
            <w:r w:rsidRPr="0090102D">
              <w:rPr>
                <w:rFonts w:cs="Arial"/>
                <w:b/>
                <w:bCs/>
              </w:rPr>
              <w:t>20 July 2026</w:t>
            </w:r>
          </w:p>
        </w:tc>
        <w:tc>
          <w:tcPr>
            <w:tcW w:w="0" w:type="auto"/>
            <w:hideMark/>
          </w:tcPr>
          <w:p w14:paraId="5D1013E0" w14:textId="77777777" w:rsidR="00135E08" w:rsidRPr="0090102D" w:rsidRDefault="00135E08">
            <w:pPr>
              <w:spacing w:after="160" w:line="259" w:lineRule="auto"/>
              <w:rPr>
                <w:rFonts w:cs="Arial"/>
              </w:rPr>
            </w:pPr>
            <w:r w:rsidRPr="0090102D">
              <w:rPr>
                <w:rFonts w:cs="Arial"/>
              </w:rPr>
              <w:t>Article 11(1)</w:t>
            </w:r>
          </w:p>
        </w:tc>
        <w:tc>
          <w:tcPr>
            <w:tcW w:w="0" w:type="auto"/>
            <w:hideMark/>
          </w:tcPr>
          <w:p w14:paraId="4CD7658C" w14:textId="77777777" w:rsidR="00135E08" w:rsidRPr="0090102D" w:rsidRDefault="00135E08">
            <w:pPr>
              <w:spacing w:after="160" w:line="259" w:lineRule="auto"/>
              <w:rPr>
                <w:rFonts w:cs="Arial"/>
              </w:rPr>
            </w:pPr>
            <w:r w:rsidRPr="0090102D">
              <w:rPr>
                <w:rFonts w:cs="Arial"/>
              </w:rPr>
              <w:t>Allows continued market placement of compliant articles until this date to support reformulation and inventory clearance.</w:t>
            </w:r>
          </w:p>
        </w:tc>
        <w:tc>
          <w:tcPr>
            <w:tcW w:w="0" w:type="auto"/>
            <w:hideMark/>
          </w:tcPr>
          <w:p w14:paraId="7E5F7848" w14:textId="5357D477" w:rsidR="00135E08" w:rsidRPr="0090102D" w:rsidRDefault="00135E08">
            <w:pPr>
              <w:spacing w:after="160" w:line="259" w:lineRule="auto"/>
              <w:rPr>
                <w:rFonts w:cs="Arial"/>
              </w:rPr>
            </w:pPr>
            <w:r w:rsidRPr="0090102D">
              <w:rPr>
                <w:rFonts w:cs="Arial"/>
              </w:rPr>
              <w:t>While this transitional period may have expired by the time</w:t>
            </w:r>
            <w:r w:rsidR="005955C3">
              <w:rPr>
                <w:rFonts w:cs="Arial"/>
              </w:rPr>
              <w:t xml:space="preserve"> the ban is</w:t>
            </w:r>
            <w:r w:rsidRPr="0090102D">
              <w:rPr>
                <w:rFonts w:cs="Arial"/>
              </w:rPr>
              <w:t xml:space="preserve"> implement</w:t>
            </w:r>
            <w:r w:rsidR="005955C3">
              <w:rPr>
                <w:rFonts w:cs="Arial"/>
              </w:rPr>
              <w:t>ed</w:t>
            </w:r>
            <w:r w:rsidRPr="0090102D">
              <w:rPr>
                <w:rFonts w:cs="Arial"/>
              </w:rPr>
              <w:t>, it is expected that most businesses will have already reformulated, and the market will largely have come into compliance.</w:t>
            </w:r>
          </w:p>
        </w:tc>
      </w:tr>
      <w:tr w:rsidR="00135E08" w:rsidRPr="0090102D" w14:paraId="02F8BBC4" w14:textId="77777777" w:rsidTr="00135E08">
        <w:tc>
          <w:tcPr>
            <w:tcW w:w="0" w:type="auto"/>
            <w:hideMark/>
          </w:tcPr>
          <w:p w14:paraId="38DAA310" w14:textId="77777777" w:rsidR="00135E08" w:rsidRPr="0090102D" w:rsidRDefault="00135E08">
            <w:pPr>
              <w:spacing w:after="160" w:line="259" w:lineRule="auto"/>
              <w:rPr>
                <w:rFonts w:cs="Arial"/>
              </w:rPr>
            </w:pPr>
            <w:r w:rsidRPr="0090102D">
              <w:rPr>
                <w:rFonts w:cs="Arial"/>
                <w:b/>
                <w:bCs/>
              </w:rPr>
              <w:t>Single-use articles for preservation of fruits, vegetables, or fishery products</w:t>
            </w:r>
          </w:p>
        </w:tc>
        <w:tc>
          <w:tcPr>
            <w:tcW w:w="0" w:type="auto"/>
            <w:hideMark/>
          </w:tcPr>
          <w:p w14:paraId="36AE7BAC" w14:textId="77777777" w:rsidR="00135E08" w:rsidRPr="0090102D" w:rsidRDefault="00135E08">
            <w:pPr>
              <w:spacing w:after="160" w:line="259" w:lineRule="auto"/>
              <w:rPr>
                <w:rFonts w:cs="Arial"/>
              </w:rPr>
            </w:pPr>
            <w:r w:rsidRPr="0090102D">
              <w:rPr>
                <w:rFonts w:cs="Arial"/>
                <w:b/>
                <w:bCs/>
              </w:rPr>
              <w:t>20 January 2028</w:t>
            </w:r>
          </w:p>
        </w:tc>
        <w:tc>
          <w:tcPr>
            <w:tcW w:w="0" w:type="auto"/>
            <w:hideMark/>
          </w:tcPr>
          <w:p w14:paraId="5ECB4DAC" w14:textId="77777777" w:rsidR="00135E08" w:rsidRPr="0090102D" w:rsidRDefault="00135E08">
            <w:pPr>
              <w:spacing w:after="160" w:line="259" w:lineRule="auto"/>
              <w:rPr>
                <w:rFonts w:cs="Arial"/>
              </w:rPr>
            </w:pPr>
            <w:r w:rsidRPr="0090102D">
              <w:rPr>
                <w:rFonts w:cs="Arial"/>
              </w:rPr>
              <w:t>Article 11(2)(a)</w:t>
            </w:r>
          </w:p>
        </w:tc>
        <w:tc>
          <w:tcPr>
            <w:tcW w:w="0" w:type="auto"/>
            <w:hideMark/>
          </w:tcPr>
          <w:p w14:paraId="386FB7AC" w14:textId="77777777" w:rsidR="00135E08" w:rsidRPr="0090102D" w:rsidRDefault="00135E08">
            <w:pPr>
              <w:spacing w:after="160" w:line="259" w:lineRule="auto"/>
              <w:rPr>
                <w:rFonts w:cs="Arial"/>
              </w:rPr>
            </w:pPr>
            <w:r w:rsidRPr="0090102D">
              <w:rPr>
                <w:rFonts w:cs="Arial"/>
              </w:rPr>
              <w:t>Recognises technical challenges in replacing BPA-based coatings in acidic or oily food applications.</w:t>
            </w:r>
          </w:p>
        </w:tc>
        <w:tc>
          <w:tcPr>
            <w:tcW w:w="0" w:type="auto"/>
            <w:hideMark/>
          </w:tcPr>
          <w:p w14:paraId="30E60273" w14:textId="6B7ECBB8" w:rsidR="00135E08" w:rsidRPr="0090102D" w:rsidRDefault="00D75BF3">
            <w:pPr>
              <w:spacing w:after="160" w:line="259" w:lineRule="auto"/>
              <w:rPr>
                <w:rFonts w:cs="Arial"/>
              </w:rPr>
            </w:pPr>
            <w:r>
              <w:rPr>
                <w:rFonts w:cs="Arial"/>
              </w:rPr>
              <w:t>We</w:t>
            </w:r>
            <w:r w:rsidRPr="0090102D">
              <w:rPr>
                <w:rFonts w:cs="Arial"/>
              </w:rPr>
              <w:t xml:space="preserve"> </w:t>
            </w:r>
            <w:r w:rsidR="00135E08" w:rsidRPr="0090102D">
              <w:rPr>
                <w:rFonts w:cs="Arial"/>
              </w:rPr>
              <w:t>may consider maintaining this extended deadline to support innovation and ensure continuity in supply chains. If implementation occurs after this date, the expectation remains that industry will have largely reformulated.</w:t>
            </w:r>
          </w:p>
        </w:tc>
      </w:tr>
      <w:tr w:rsidR="00135E08" w:rsidRPr="0090102D" w14:paraId="6FEEF3FE" w14:textId="77777777" w:rsidTr="00135E08">
        <w:tc>
          <w:tcPr>
            <w:tcW w:w="0" w:type="auto"/>
            <w:hideMark/>
          </w:tcPr>
          <w:p w14:paraId="1B47F458" w14:textId="77777777" w:rsidR="00135E08" w:rsidRPr="0090102D" w:rsidRDefault="00135E08">
            <w:pPr>
              <w:spacing w:after="160" w:line="259" w:lineRule="auto"/>
              <w:rPr>
                <w:rFonts w:cs="Arial"/>
              </w:rPr>
            </w:pPr>
            <w:r w:rsidRPr="0090102D">
              <w:rPr>
                <w:rFonts w:cs="Arial"/>
                <w:b/>
                <w:bCs/>
              </w:rPr>
              <w:t>Single-use articles with BPA-based coatings applied only to the exterior metal surface</w:t>
            </w:r>
          </w:p>
        </w:tc>
        <w:tc>
          <w:tcPr>
            <w:tcW w:w="0" w:type="auto"/>
            <w:hideMark/>
          </w:tcPr>
          <w:p w14:paraId="327598E8" w14:textId="77777777" w:rsidR="00135E08" w:rsidRPr="0090102D" w:rsidRDefault="00135E08">
            <w:pPr>
              <w:spacing w:after="160" w:line="259" w:lineRule="auto"/>
              <w:rPr>
                <w:rFonts w:cs="Arial"/>
              </w:rPr>
            </w:pPr>
            <w:r w:rsidRPr="0090102D">
              <w:rPr>
                <w:rFonts w:cs="Arial"/>
                <w:b/>
                <w:bCs/>
              </w:rPr>
              <w:t>20 January 2028</w:t>
            </w:r>
          </w:p>
        </w:tc>
        <w:tc>
          <w:tcPr>
            <w:tcW w:w="0" w:type="auto"/>
            <w:hideMark/>
          </w:tcPr>
          <w:p w14:paraId="6477CAF4" w14:textId="77777777" w:rsidR="00135E08" w:rsidRPr="0090102D" w:rsidRDefault="00135E08">
            <w:pPr>
              <w:spacing w:after="160" w:line="259" w:lineRule="auto"/>
              <w:rPr>
                <w:rFonts w:cs="Arial"/>
              </w:rPr>
            </w:pPr>
            <w:r w:rsidRPr="0090102D">
              <w:rPr>
                <w:rFonts w:cs="Arial"/>
              </w:rPr>
              <w:t>Article 11(2)(b)</w:t>
            </w:r>
          </w:p>
        </w:tc>
        <w:tc>
          <w:tcPr>
            <w:tcW w:w="0" w:type="auto"/>
            <w:hideMark/>
          </w:tcPr>
          <w:p w14:paraId="62B1E834" w14:textId="77777777" w:rsidR="00135E08" w:rsidRPr="0090102D" w:rsidRDefault="00135E08">
            <w:pPr>
              <w:spacing w:after="160" w:line="259" w:lineRule="auto"/>
              <w:rPr>
                <w:rFonts w:cs="Arial"/>
              </w:rPr>
            </w:pPr>
            <w:r w:rsidRPr="0090102D">
              <w:rPr>
                <w:rFonts w:cs="Arial"/>
              </w:rPr>
              <w:t>Migration risk is minimal due to external application; extended deadline supports gradual phase-out.</w:t>
            </w:r>
          </w:p>
        </w:tc>
        <w:tc>
          <w:tcPr>
            <w:tcW w:w="0" w:type="auto"/>
            <w:hideMark/>
          </w:tcPr>
          <w:p w14:paraId="5E25EC81" w14:textId="7A5A40A9" w:rsidR="00135E08" w:rsidRPr="0090102D" w:rsidRDefault="005D351B">
            <w:pPr>
              <w:spacing w:after="160" w:line="259" w:lineRule="auto"/>
              <w:rPr>
                <w:rFonts w:cs="Arial"/>
              </w:rPr>
            </w:pPr>
            <w:r>
              <w:rPr>
                <w:rFonts w:cs="Arial"/>
              </w:rPr>
              <w:t>We</w:t>
            </w:r>
            <w:r w:rsidRPr="0090102D">
              <w:rPr>
                <w:rFonts w:cs="Arial"/>
              </w:rPr>
              <w:t xml:space="preserve"> </w:t>
            </w:r>
            <w:r w:rsidR="00135E08" w:rsidRPr="0090102D">
              <w:rPr>
                <w:rFonts w:cs="Arial"/>
              </w:rPr>
              <w:t>may adopt this provision to reflect low exposure risk and allow time for reformulation of niche applications. As with other categories, the market is expected to have largely come into compliance by the time of implementation.</w:t>
            </w:r>
          </w:p>
        </w:tc>
      </w:tr>
      <w:tr w:rsidR="00135E08" w:rsidRPr="0090102D" w14:paraId="43ACF5B7" w14:textId="77777777" w:rsidTr="00135E08">
        <w:tc>
          <w:tcPr>
            <w:tcW w:w="0" w:type="auto"/>
            <w:hideMark/>
          </w:tcPr>
          <w:p w14:paraId="3D133D07" w14:textId="77777777" w:rsidR="00135E08" w:rsidRPr="0090102D" w:rsidRDefault="00135E08">
            <w:pPr>
              <w:spacing w:after="160" w:line="259" w:lineRule="auto"/>
              <w:rPr>
                <w:rFonts w:cs="Arial"/>
              </w:rPr>
            </w:pPr>
            <w:r w:rsidRPr="0090102D">
              <w:rPr>
                <w:rFonts w:cs="Arial"/>
                <w:b/>
                <w:bCs/>
              </w:rPr>
              <w:t>Repeat-use final food contact articles manufactured with BPA</w:t>
            </w:r>
          </w:p>
        </w:tc>
        <w:tc>
          <w:tcPr>
            <w:tcW w:w="0" w:type="auto"/>
            <w:hideMark/>
          </w:tcPr>
          <w:p w14:paraId="261902CC" w14:textId="77777777" w:rsidR="00135E08" w:rsidRPr="0090102D" w:rsidRDefault="00135E08">
            <w:pPr>
              <w:spacing w:after="160" w:line="259" w:lineRule="auto"/>
              <w:rPr>
                <w:rFonts w:cs="Arial"/>
              </w:rPr>
            </w:pPr>
            <w:r w:rsidRPr="0090102D">
              <w:rPr>
                <w:rFonts w:cs="Arial"/>
                <w:b/>
                <w:bCs/>
              </w:rPr>
              <w:t>First placement: 20 July 2026</w:t>
            </w:r>
            <w:r w:rsidRPr="0090102D">
              <w:rPr>
                <w:rFonts w:cs="Arial"/>
              </w:rPr>
              <w:br/>
            </w:r>
            <w:r w:rsidRPr="0090102D">
              <w:rPr>
                <w:rFonts w:cs="Arial"/>
                <w:b/>
                <w:bCs/>
              </w:rPr>
              <w:t>Market presence: until 20 January 2029</w:t>
            </w:r>
          </w:p>
        </w:tc>
        <w:tc>
          <w:tcPr>
            <w:tcW w:w="0" w:type="auto"/>
            <w:hideMark/>
          </w:tcPr>
          <w:p w14:paraId="288D0A00" w14:textId="77777777" w:rsidR="00135E08" w:rsidRPr="0090102D" w:rsidRDefault="00135E08">
            <w:pPr>
              <w:spacing w:after="160" w:line="259" w:lineRule="auto"/>
              <w:rPr>
                <w:rFonts w:cs="Arial"/>
              </w:rPr>
            </w:pPr>
            <w:r w:rsidRPr="0090102D">
              <w:rPr>
                <w:rFonts w:cs="Arial"/>
              </w:rPr>
              <w:t>Article 12</w:t>
            </w:r>
          </w:p>
        </w:tc>
        <w:tc>
          <w:tcPr>
            <w:tcW w:w="0" w:type="auto"/>
            <w:hideMark/>
          </w:tcPr>
          <w:p w14:paraId="45C57D30" w14:textId="77777777" w:rsidR="00135E08" w:rsidRPr="0090102D" w:rsidRDefault="00135E08">
            <w:pPr>
              <w:spacing w:after="160" w:line="259" w:lineRule="auto"/>
              <w:rPr>
                <w:rFonts w:cs="Arial"/>
              </w:rPr>
            </w:pPr>
            <w:r w:rsidRPr="0090102D">
              <w:rPr>
                <w:rFonts w:cs="Arial"/>
              </w:rPr>
              <w:t>Reflects long lifespan and high replacement costs of durable equipment used in food production.</w:t>
            </w:r>
          </w:p>
        </w:tc>
        <w:tc>
          <w:tcPr>
            <w:tcW w:w="0" w:type="auto"/>
            <w:hideMark/>
          </w:tcPr>
          <w:p w14:paraId="44607673" w14:textId="1878BD9C" w:rsidR="00135E08" w:rsidRPr="0090102D" w:rsidRDefault="00BA4868">
            <w:pPr>
              <w:spacing w:after="160" w:line="259" w:lineRule="auto"/>
              <w:rPr>
                <w:rFonts w:cs="Arial"/>
              </w:rPr>
            </w:pPr>
            <w:r>
              <w:rPr>
                <w:rFonts w:cs="Arial"/>
              </w:rPr>
              <w:t>We are</w:t>
            </w:r>
            <w:r w:rsidR="00135E08" w:rsidRPr="0090102D">
              <w:rPr>
                <w:rFonts w:cs="Arial"/>
              </w:rPr>
              <w:t xml:space="preserve"> likely to align with this timeline to avoid unnecessary economic burden and logistical disruption. Even if the transitional period lapses before implementation, most businesses are expected to have taken steps to comply.</w:t>
            </w:r>
          </w:p>
        </w:tc>
      </w:tr>
    </w:tbl>
    <w:p w14:paraId="601BF9DE" w14:textId="77777777" w:rsidR="00146A12" w:rsidRDefault="00146A12" w:rsidP="002B2126"/>
    <w:p w14:paraId="55061E4E" w14:textId="77777777" w:rsidR="00D913B5" w:rsidRDefault="00D913B5" w:rsidP="00D913B5">
      <w:pPr>
        <w:spacing w:after="160" w:line="259" w:lineRule="auto"/>
        <w:contextualSpacing/>
      </w:pPr>
    </w:p>
    <w:p w14:paraId="06921DB7" w14:textId="445697AE" w:rsidR="001B4E85" w:rsidRPr="001B4E85" w:rsidRDefault="00D913B5" w:rsidP="001B4E85">
      <w:pPr>
        <w:pStyle w:val="Heading1"/>
      </w:pPr>
      <w:bookmarkStart w:id="48" w:name="_Toc210141725"/>
      <w:r>
        <w:t>Annex C: Derogation</w:t>
      </w:r>
      <w:bookmarkEnd w:id="48"/>
    </w:p>
    <w:p w14:paraId="2E8A9F11" w14:textId="77777777" w:rsidR="001B4E85" w:rsidRPr="00B74D94" w:rsidRDefault="001B4E85" w:rsidP="001B4E85">
      <w:pPr>
        <w:spacing w:after="160" w:line="259" w:lineRule="auto"/>
        <w:rPr>
          <w:rFonts w:cs="Arial"/>
        </w:rPr>
      </w:pPr>
      <w:r w:rsidRPr="00B74D94">
        <w:rPr>
          <w:rFonts w:cs="Arial"/>
        </w:rPr>
        <w:t xml:space="preserve">While the general rule is </w:t>
      </w:r>
      <w:r>
        <w:rPr>
          <w:rFonts w:cs="Arial"/>
        </w:rPr>
        <w:t xml:space="preserve">to ban </w:t>
      </w:r>
      <w:r w:rsidRPr="00B74D94">
        <w:rPr>
          <w:rFonts w:cs="Arial"/>
        </w:rPr>
        <w:t>the use of BPA and its analogues in FCMs, specific derogations</w:t>
      </w:r>
      <w:r>
        <w:rPr>
          <w:rFonts w:cs="Arial"/>
        </w:rPr>
        <w:t xml:space="preserve"> i.e. </w:t>
      </w:r>
      <w:r w:rsidRPr="00B74D94">
        <w:rPr>
          <w:rFonts w:cs="Arial"/>
        </w:rPr>
        <w:t>limited exceptions</w:t>
      </w:r>
      <w:r>
        <w:rPr>
          <w:rFonts w:cs="Arial"/>
        </w:rPr>
        <w:t xml:space="preserve"> are also included</w:t>
      </w:r>
      <w:r w:rsidRPr="00B74D94">
        <w:rPr>
          <w:rFonts w:cs="Arial"/>
        </w:rPr>
        <w:t>. The derogations are designed to accommodate critical uses where no viable alternatives currently exist and where risk can be tightly controlled.</w:t>
      </w:r>
    </w:p>
    <w:p w14:paraId="170521C0" w14:textId="77777777" w:rsidR="001B4E85" w:rsidRPr="00B74D94" w:rsidRDefault="001B4E85" w:rsidP="001B4E85">
      <w:pPr>
        <w:spacing w:after="160" w:line="259" w:lineRule="auto"/>
        <w:rPr>
          <w:rFonts w:cs="Arial"/>
          <w:b/>
          <w:bCs/>
        </w:rPr>
      </w:pPr>
      <w:r w:rsidRPr="00B74D94">
        <w:rPr>
          <w:rFonts w:cs="Arial"/>
          <w:b/>
          <w:bCs/>
        </w:rPr>
        <w:t xml:space="preserve">Key Derogations </w:t>
      </w:r>
    </w:p>
    <w:tbl>
      <w:tblPr>
        <w:tblStyle w:val="TableGrid"/>
        <w:tblW w:w="0" w:type="auto"/>
        <w:tblLook w:val="04A0" w:firstRow="1" w:lastRow="0" w:firstColumn="1" w:lastColumn="0" w:noHBand="0" w:noVBand="1"/>
      </w:tblPr>
      <w:tblGrid>
        <w:gridCol w:w="1946"/>
        <w:gridCol w:w="1428"/>
        <w:gridCol w:w="3155"/>
        <w:gridCol w:w="2957"/>
      </w:tblGrid>
      <w:tr w:rsidR="001B4E85" w:rsidRPr="00B74D94" w14:paraId="6D3A83C8" w14:textId="77777777">
        <w:tc>
          <w:tcPr>
            <w:tcW w:w="0" w:type="auto"/>
            <w:hideMark/>
          </w:tcPr>
          <w:p w14:paraId="3AEC7CAC" w14:textId="77777777" w:rsidR="001B4E85" w:rsidRPr="00B74D94" w:rsidRDefault="001B4E85">
            <w:pPr>
              <w:spacing w:after="160" w:line="259" w:lineRule="auto"/>
              <w:rPr>
                <w:rFonts w:cs="Arial"/>
                <w:b/>
                <w:bCs/>
              </w:rPr>
            </w:pPr>
            <w:r w:rsidRPr="00B74D94">
              <w:rPr>
                <w:rFonts w:cs="Arial"/>
                <w:b/>
                <w:bCs/>
              </w:rPr>
              <w:t>Use Case</w:t>
            </w:r>
          </w:p>
        </w:tc>
        <w:tc>
          <w:tcPr>
            <w:tcW w:w="0" w:type="auto"/>
            <w:hideMark/>
          </w:tcPr>
          <w:p w14:paraId="1D77959F" w14:textId="77777777" w:rsidR="001B4E85" w:rsidRPr="00B74D94" w:rsidRDefault="001B4E85">
            <w:pPr>
              <w:spacing w:after="160" w:line="259" w:lineRule="auto"/>
              <w:rPr>
                <w:rFonts w:cs="Arial"/>
                <w:b/>
                <w:bCs/>
              </w:rPr>
            </w:pPr>
            <w:r w:rsidRPr="00B74D94">
              <w:rPr>
                <w:rFonts w:cs="Arial"/>
                <w:b/>
                <w:bCs/>
              </w:rPr>
              <w:t>Material Type</w:t>
            </w:r>
          </w:p>
        </w:tc>
        <w:tc>
          <w:tcPr>
            <w:tcW w:w="0" w:type="auto"/>
            <w:hideMark/>
          </w:tcPr>
          <w:p w14:paraId="0FB3C503" w14:textId="77777777" w:rsidR="001B4E85" w:rsidRPr="00B74D94" w:rsidRDefault="001B4E85">
            <w:pPr>
              <w:spacing w:after="160" w:line="259" w:lineRule="auto"/>
              <w:rPr>
                <w:rFonts w:cs="Arial"/>
                <w:b/>
                <w:bCs/>
              </w:rPr>
            </w:pPr>
            <w:r w:rsidRPr="00B74D94">
              <w:rPr>
                <w:rFonts w:cs="Arial"/>
                <w:b/>
                <w:bCs/>
              </w:rPr>
              <w:t>Conditions for Derogation</w:t>
            </w:r>
          </w:p>
        </w:tc>
        <w:tc>
          <w:tcPr>
            <w:tcW w:w="0" w:type="auto"/>
            <w:hideMark/>
          </w:tcPr>
          <w:p w14:paraId="7E99CC2B" w14:textId="77777777" w:rsidR="001B4E85" w:rsidRPr="00B74D94" w:rsidRDefault="001B4E85">
            <w:pPr>
              <w:spacing w:after="160" w:line="259" w:lineRule="auto"/>
              <w:rPr>
                <w:rFonts w:cs="Arial"/>
                <w:b/>
                <w:bCs/>
              </w:rPr>
            </w:pPr>
            <w:r w:rsidRPr="00B74D94">
              <w:rPr>
                <w:rFonts w:cs="Arial"/>
                <w:b/>
                <w:bCs/>
              </w:rPr>
              <w:t>Rationale</w:t>
            </w:r>
          </w:p>
        </w:tc>
      </w:tr>
      <w:tr w:rsidR="001B4E85" w:rsidRPr="00B74D94" w14:paraId="07CEC159" w14:textId="77777777">
        <w:tc>
          <w:tcPr>
            <w:tcW w:w="0" w:type="auto"/>
            <w:hideMark/>
          </w:tcPr>
          <w:p w14:paraId="78DE7ABA" w14:textId="77777777" w:rsidR="001B4E85" w:rsidRPr="00B74D94" w:rsidRDefault="001B4E85">
            <w:pPr>
              <w:spacing w:after="160" w:line="259" w:lineRule="auto"/>
              <w:rPr>
                <w:rFonts w:cs="Arial"/>
              </w:rPr>
            </w:pPr>
            <w:proofErr w:type="spellStart"/>
            <w:r w:rsidRPr="00B74D94">
              <w:rPr>
                <w:rFonts w:cs="Arial"/>
                <w:b/>
                <w:bCs/>
              </w:rPr>
              <w:t>Polysulfone</w:t>
            </w:r>
            <w:proofErr w:type="spellEnd"/>
            <w:r w:rsidRPr="00B74D94">
              <w:rPr>
                <w:rFonts w:cs="Arial"/>
                <w:b/>
                <w:bCs/>
              </w:rPr>
              <w:t xml:space="preserve"> filtration membrane assemblies</w:t>
            </w:r>
          </w:p>
        </w:tc>
        <w:tc>
          <w:tcPr>
            <w:tcW w:w="0" w:type="auto"/>
            <w:hideMark/>
          </w:tcPr>
          <w:p w14:paraId="0A172124" w14:textId="77777777" w:rsidR="001B4E85" w:rsidRPr="00B74D94" w:rsidRDefault="001B4E85">
            <w:pPr>
              <w:spacing w:after="160" w:line="259" w:lineRule="auto"/>
              <w:rPr>
                <w:rFonts w:cs="Arial"/>
              </w:rPr>
            </w:pPr>
            <w:r w:rsidRPr="00B74D94">
              <w:rPr>
                <w:rFonts w:cs="Arial"/>
              </w:rPr>
              <w:t>Plastics</w:t>
            </w:r>
          </w:p>
        </w:tc>
        <w:tc>
          <w:tcPr>
            <w:tcW w:w="0" w:type="auto"/>
            <w:hideMark/>
          </w:tcPr>
          <w:p w14:paraId="345F2763" w14:textId="77777777" w:rsidR="001B4E85" w:rsidRPr="004B19C7" w:rsidRDefault="001B4E85">
            <w:pPr>
              <w:spacing w:after="160" w:line="259" w:lineRule="auto"/>
              <w:rPr>
                <w:rFonts w:cs="Arial"/>
              </w:rPr>
            </w:pPr>
            <w:r w:rsidRPr="004B19C7">
              <w:rPr>
                <w:rFonts w:cs="Arial"/>
              </w:rPr>
              <w:t xml:space="preserve">BPA may be used as a monomer or starting substance. Migration must be </w:t>
            </w:r>
            <w:r w:rsidRPr="004171FE">
              <w:rPr>
                <w:rFonts w:cs="Arial"/>
              </w:rPr>
              <w:t>non-detectable</w:t>
            </w:r>
            <w:r w:rsidRPr="004B19C7">
              <w:rPr>
                <w:rFonts w:cs="Arial"/>
              </w:rPr>
              <w:t xml:space="preserve"> (limit: </w:t>
            </w:r>
            <w:r w:rsidRPr="004171FE">
              <w:rPr>
                <w:rFonts w:cs="Arial"/>
              </w:rPr>
              <w:t>1 µg/kg</w:t>
            </w:r>
            <w:r w:rsidRPr="004B19C7">
              <w:rPr>
                <w:rFonts w:cs="Arial"/>
              </w:rPr>
              <w:t xml:space="preserve">). Final articles must be </w:t>
            </w:r>
            <w:r w:rsidRPr="004171FE">
              <w:rPr>
                <w:rFonts w:cs="Arial"/>
              </w:rPr>
              <w:t>cleaned and flushed</w:t>
            </w:r>
            <w:r w:rsidRPr="004B19C7">
              <w:rPr>
                <w:rFonts w:cs="Arial"/>
              </w:rPr>
              <w:t xml:space="preserve"> before food contact.</w:t>
            </w:r>
          </w:p>
        </w:tc>
        <w:tc>
          <w:tcPr>
            <w:tcW w:w="0" w:type="auto"/>
            <w:hideMark/>
          </w:tcPr>
          <w:p w14:paraId="4176DB7A" w14:textId="77777777" w:rsidR="001B4E85" w:rsidRPr="004B19C7" w:rsidRDefault="001B4E85">
            <w:pPr>
              <w:spacing w:after="160" w:line="259" w:lineRule="auto"/>
              <w:rPr>
                <w:rFonts w:cs="Arial"/>
              </w:rPr>
            </w:pPr>
            <w:r w:rsidRPr="004B19C7">
              <w:rPr>
                <w:rFonts w:cs="Arial"/>
              </w:rPr>
              <w:t xml:space="preserve">These membranes are used in </w:t>
            </w:r>
            <w:r w:rsidRPr="004171FE">
              <w:rPr>
                <w:rFonts w:cs="Arial"/>
              </w:rPr>
              <w:t>critical filtration systems</w:t>
            </w:r>
            <w:r w:rsidRPr="004B19C7">
              <w:rPr>
                <w:rFonts w:cs="Arial"/>
              </w:rPr>
              <w:t xml:space="preserve"> (e.g. dairy, beverages) where BPA-free alternatives are not yet technically feasible.</w:t>
            </w:r>
          </w:p>
        </w:tc>
      </w:tr>
      <w:tr w:rsidR="001B4E85" w:rsidRPr="00B74D94" w14:paraId="4AF687C1" w14:textId="77777777">
        <w:tc>
          <w:tcPr>
            <w:tcW w:w="0" w:type="auto"/>
            <w:hideMark/>
          </w:tcPr>
          <w:p w14:paraId="21DC27A2" w14:textId="77777777" w:rsidR="001B4E85" w:rsidRPr="00B74D94" w:rsidRDefault="001B4E85">
            <w:pPr>
              <w:spacing w:after="160" w:line="259" w:lineRule="auto"/>
              <w:rPr>
                <w:rFonts w:cs="Arial"/>
              </w:rPr>
            </w:pPr>
            <w:r w:rsidRPr="00B74D94">
              <w:rPr>
                <w:rFonts w:cs="Arial"/>
                <w:b/>
                <w:bCs/>
              </w:rPr>
              <w:t>Liquid epoxy resins for large containers</w:t>
            </w:r>
          </w:p>
        </w:tc>
        <w:tc>
          <w:tcPr>
            <w:tcW w:w="0" w:type="auto"/>
            <w:hideMark/>
          </w:tcPr>
          <w:p w14:paraId="15E94374" w14:textId="77777777" w:rsidR="001B4E85" w:rsidRPr="00B74D94" w:rsidRDefault="001B4E85">
            <w:pPr>
              <w:spacing w:after="160" w:line="259" w:lineRule="auto"/>
              <w:rPr>
                <w:rFonts w:cs="Arial"/>
              </w:rPr>
            </w:pPr>
            <w:r w:rsidRPr="00B74D94">
              <w:rPr>
                <w:rFonts w:cs="Arial"/>
              </w:rPr>
              <w:t>Varnishes and coatings</w:t>
            </w:r>
          </w:p>
        </w:tc>
        <w:tc>
          <w:tcPr>
            <w:tcW w:w="0" w:type="auto"/>
            <w:hideMark/>
          </w:tcPr>
          <w:p w14:paraId="30CD6533" w14:textId="77777777" w:rsidR="001B4E85" w:rsidRPr="004B19C7" w:rsidRDefault="001B4E85">
            <w:pPr>
              <w:spacing w:after="160" w:line="259" w:lineRule="auto"/>
              <w:rPr>
                <w:rFonts w:cs="Arial"/>
              </w:rPr>
            </w:pPr>
            <w:r w:rsidRPr="004B19C7">
              <w:rPr>
                <w:rFonts w:cs="Arial"/>
              </w:rPr>
              <w:t xml:space="preserve">BPA may be used in self-supporting FCMs or articles with a </w:t>
            </w:r>
            <w:r w:rsidRPr="004171FE">
              <w:rPr>
                <w:rFonts w:cs="Arial"/>
              </w:rPr>
              <w:t>capacity &gt;1000 litres</w:t>
            </w:r>
            <w:r w:rsidRPr="004B19C7">
              <w:rPr>
                <w:rFonts w:cs="Arial"/>
              </w:rPr>
              <w:t>. Same migration and cleaning conditions apply.</w:t>
            </w:r>
          </w:p>
        </w:tc>
        <w:tc>
          <w:tcPr>
            <w:tcW w:w="0" w:type="auto"/>
            <w:hideMark/>
          </w:tcPr>
          <w:p w14:paraId="52B027DF" w14:textId="77777777" w:rsidR="001B4E85" w:rsidRPr="004B19C7" w:rsidRDefault="001B4E85">
            <w:pPr>
              <w:spacing w:after="160" w:line="259" w:lineRule="auto"/>
              <w:rPr>
                <w:rFonts w:cs="Arial"/>
              </w:rPr>
            </w:pPr>
            <w:r w:rsidRPr="004B19C7">
              <w:rPr>
                <w:rFonts w:cs="Arial"/>
              </w:rPr>
              <w:t xml:space="preserve">These are typically </w:t>
            </w:r>
            <w:r w:rsidRPr="004171FE">
              <w:rPr>
                <w:rFonts w:cs="Arial"/>
              </w:rPr>
              <w:t>industrial-scale tanks</w:t>
            </w:r>
            <w:r w:rsidRPr="004B19C7">
              <w:rPr>
                <w:rFonts w:cs="Arial"/>
              </w:rPr>
              <w:t xml:space="preserve"> used in food processing. Replacing them would be economically and logistically burdensome.</w:t>
            </w:r>
          </w:p>
        </w:tc>
      </w:tr>
    </w:tbl>
    <w:p w14:paraId="6EC2C69C" w14:textId="77777777" w:rsidR="001B4E85" w:rsidRDefault="001B4E85" w:rsidP="001B4E85">
      <w:pPr>
        <w:rPr>
          <w:rFonts w:ascii="Segoe UI Emoji" w:hAnsi="Segoe UI Emoji" w:cs="Segoe UI Emoji"/>
          <w:b/>
          <w:bCs/>
        </w:rPr>
      </w:pPr>
    </w:p>
    <w:p w14:paraId="414A4429" w14:textId="77777777" w:rsidR="001B4E85" w:rsidRPr="00B74D94" w:rsidRDefault="001B4E85" w:rsidP="001B4E85">
      <w:pPr>
        <w:spacing w:after="160" w:line="259" w:lineRule="auto"/>
        <w:rPr>
          <w:rFonts w:cs="Arial"/>
          <w:b/>
          <w:bCs/>
        </w:rPr>
      </w:pPr>
      <w:r w:rsidRPr="00B74D94">
        <w:rPr>
          <w:rFonts w:cs="Arial"/>
          <w:b/>
          <w:bCs/>
        </w:rPr>
        <w:t>Additional Notes on Derogations</w:t>
      </w:r>
    </w:p>
    <w:p w14:paraId="5925AB8A" w14:textId="77777777" w:rsidR="001B4E85" w:rsidRPr="00B74D94" w:rsidRDefault="001B4E85" w:rsidP="001B4E85">
      <w:pPr>
        <w:spacing w:after="160" w:line="259" w:lineRule="auto"/>
        <w:rPr>
          <w:rFonts w:cs="Arial"/>
        </w:rPr>
      </w:pPr>
      <w:r w:rsidRPr="00B74D94">
        <w:rPr>
          <w:rFonts w:cs="Arial"/>
        </w:rPr>
        <w:t>These derogations are not blanket exemptions. They are conditional on:</w:t>
      </w:r>
    </w:p>
    <w:p w14:paraId="1532B463" w14:textId="77777777" w:rsidR="001B4E85" w:rsidRPr="00D61954" w:rsidRDefault="001B4E85" w:rsidP="001B4E85">
      <w:pPr>
        <w:pStyle w:val="ListParagraph"/>
        <w:numPr>
          <w:ilvl w:val="0"/>
          <w:numId w:val="19"/>
        </w:numPr>
        <w:spacing w:after="160" w:line="259" w:lineRule="auto"/>
        <w:contextualSpacing/>
        <w:rPr>
          <w:rFonts w:cs="Arial"/>
        </w:rPr>
      </w:pPr>
      <w:r w:rsidRPr="00D61954">
        <w:rPr>
          <w:rFonts w:cs="Arial"/>
        </w:rPr>
        <w:t>Strict migration limits (non-detectable at 1 µg/kg),</w:t>
      </w:r>
    </w:p>
    <w:p w14:paraId="553EF8FB" w14:textId="77777777" w:rsidR="001B4E85" w:rsidRPr="00D61954" w:rsidRDefault="001B4E85" w:rsidP="001B4E85">
      <w:pPr>
        <w:pStyle w:val="ListParagraph"/>
        <w:numPr>
          <w:ilvl w:val="0"/>
          <w:numId w:val="19"/>
        </w:numPr>
        <w:spacing w:after="160" w:line="259" w:lineRule="auto"/>
        <w:contextualSpacing/>
        <w:rPr>
          <w:rFonts w:cs="Arial"/>
        </w:rPr>
      </w:pPr>
      <w:r w:rsidRPr="00D61954">
        <w:rPr>
          <w:rFonts w:cs="Arial"/>
        </w:rPr>
        <w:t>Pre-use cleaning of the final article,</w:t>
      </w:r>
    </w:p>
    <w:p w14:paraId="6BE285CE" w14:textId="77777777" w:rsidR="001B4E85" w:rsidRPr="00D913B5" w:rsidRDefault="001B4E85" w:rsidP="001B4E85">
      <w:pPr>
        <w:pStyle w:val="ListParagraph"/>
        <w:numPr>
          <w:ilvl w:val="0"/>
          <w:numId w:val="19"/>
        </w:numPr>
        <w:spacing w:after="160" w:line="259" w:lineRule="auto"/>
        <w:contextualSpacing/>
      </w:pPr>
      <w:r w:rsidRPr="00D61954">
        <w:rPr>
          <w:rFonts w:cs="Arial"/>
        </w:rPr>
        <w:t>Use only in specific, controlled applications.</w:t>
      </w:r>
    </w:p>
    <w:p w14:paraId="6C65A423" w14:textId="6B0ED0A0" w:rsidR="003302D6" w:rsidRDefault="003302D6" w:rsidP="003302D6">
      <w:pPr>
        <w:pStyle w:val="Heading1"/>
        <w:rPr>
          <w:iCs/>
          <w:color w:val="000000" w:themeColor="text1"/>
        </w:rPr>
      </w:pPr>
      <w:bookmarkStart w:id="49" w:name="_Toc210141726"/>
      <w:r w:rsidRPr="00DB3418">
        <w:t xml:space="preserve">Annex D: </w:t>
      </w:r>
      <w:r w:rsidR="00DC482C" w:rsidRPr="00DB3418">
        <w:t>Proposed</w:t>
      </w:r>
      <w:r w:rsidR="003C6757" w:rsidRPr="00DB3418">
        <w:t xml:space="preserve"> Timeline for </w:t>
      </w:r>
      <w:r w:rsidR="00E44B30" w:rsidRPr="00DB3418">
        <w:t>BPA B</w:t>
      </w:r>
      <w:r w:rsidR="00E605B3" w:rsidRPr="00DB3418">
        <w:t>an</w:t>
      </w:r>
      <w:bookmarkEnd w:id="49"/>
      <w:r w:rsidR="00E605B3" w:rsidRPr="00DB3418">
        <w:t xml:space="preserve"> </w:t>
      </w:r>
    </w:p>
    <w:tbl>
      <w:tblPr>
        <w:tblStyle w:val="TableGrid"/>
        <w:tblW w:w="0" w:type="auto"/>
        <w:tblLook w:val="04A0" w:firstRow="1" w:lastRow="0" w:firstColumn="1" w:lastColumn="0" w:noHBand="0" w:noVBand="1"/>
      </w:tblPr>
      <w:tblGrid>
        <w:gridCol w:w="2220"/>
        <w:gridCol w:w="1577"/>
        <w:gridCol w:w="5689"/>
      </w:tblGrid>
      <w:tr w:rsidR="000410B2" w:rsidRPr="000410B2" w14:paraId="1DEF2418" w14:textId="77777777" w:rsidTr="005330C5">
        <w:tc>
          <w:tcPr>
            <w:tcW w:w="0" w:type="auto"/>
            <w:hideMark/>
          </w:tcPr>
          <w:p w14:paraId="11CA72FB" w14:textId="77777777" w:rsidR="000410B2" w:rsidRPr="000410B2" w:rsidRDefault="000410B2" w:rsidP="000410B2">
            <w:pPr>
              <w:rPr>
                <w:rFonts w:cs="Arial"/>
                <w:b/>
                <w:bCs/>
              </w:rPr>
            </w:pPr>
            <w:r w:rsidRPr="000410B2">
              <w:rPr>
                <w:rFonts w:cs="Arial"/>
                <w:b/>
                <w:bCs/>
              </w:rPr>
              <w:t>Milestone</w:t>
            </w:r>
          </w:p>
        </w:tc>
        <w:tc>
          <w:tcPr>
            <w:tcW w:w="0" w:type="auto"/>
            <w:hideMark/>
          </w:tcPr>
          <w:p w14:paraId="1EA9B006" w14:textId="77777777" w:rsidR="000410B2" w:rsidRPr="000410B2" w:rsidRDefault="000410B2" w:rsidP="000410B2">
            <w:pPr>
              <w:rPr>
                <w:rFonts w:cs="Arial"/>
                <w:b/>
                <w:bCs/>
              </w:rPr>
            </w:pPr>
            <w:r w:rsidRPr="000410B2">
              <w:rPr>
                <w:rFonts w:cs="Arial"/>
                <w:b/>
                <w:bCs/>
              </w:rPr>
              <w:t>Estimated Date</w:t>
            </w:r>
          </w:p>
        </w:tc>
        <w:tc>
          <w:tcPr>
            <w:tcW w:w="0" w:type="auto"/>
            <w:hideMark/>
          </w:tcPr>
          <w:p w14:paraId="6ED2896E" w14:textId="77777777" w:rsidR="000410B2" w:rsidRPr="000410B2" w:rsidRDefault="000410B2" w:rsidP="000410B2">
            <w:pPr>
              <w:rPr>
                <w:rFonts w:cs="Arial"/>
                <w:b/>
                <w:bCs/>
              </w:rPr>
            </w:pPr>
            <w:r w:rsidRPr="000410B2">
              <w:rPr>
                <w:rFonts w:cs="Arial"/>
                <w:b/>
                <w:bCs/>
              </w:rPr>
              <w:t>Details</w:t>
            </w:r>
          </w:p>
        </w:tc>
      </w:tr>
      <w:tr w:rsidR="000410B2" w:rsidRPr="000410B2" w14:paraId="75AC0CC2" w14:textId="77777777" w:rsidTr="005330C5">
        <w:tc>
          <w:tcPr>
            <w:tcW w:w="0" w:type="auto"/>
            <w:hideMark/>
          </w:tcPr>
          <w:p w14:paraId="7A486C2E" w14:textId="77777777" w:rsidR="000410B2" w:rsidRPr="000410B2" w:rsidRDefault="000410B2" w:rsidP="000410B2">
            <w:pPr>
              <w:rPr>
                <w:rFonts w:cs="Arial"/>
                <w:b/>
                <w:bCs/>
              </w:rPr>
            </w:pPr>
            <w:r w:rsidRPr="000410B2">
              <w:rPr>
                <w:rFonts w:cs="Arial"/>
                <w:b/>
                <w:bCs/>
              </w:rPr>
              <w:t>Consultation launch</w:t>
            </w:r>
          </w:p>
        </w:tc>
        <w:tc>
          <w:tcPr>
            <w:tcW w:w="0" w:type="auto"/>
            <w:hideMark/>
          </w:tcPr>
          <w:p w14:paraId="476B1B25" w14:textId="77777777" w:rsidR="000410B2" w:rsidRPr="000410B2" w:rsidRDefault="000410B2" w:rsidP="000410B2">
            <w:pPr>
              <w:rPr>
                <w:rFonts w:cs="Arial"/>
              </w:rPr>
            </w:pPr>
            <w:r w:rsidRPr="000410B2">
              <w:rPr>
                <w:rFonts w:cs="Arial"/>
              </w:rPr>
              <w:t>2 October 2025</w:t>
            </w:r>
          </w:p>
        </w:tc>
        <w:tc>
          <w:tcPr>
            <w:tcW w:w="0" w:type="auto"/>
            <w:hideMark/>
          </w:tcPr>
          <w:p w14:paraId="72FD2CC9" w14:textId="77777777" w:rsidR="000410B2" w:rsidRPr="000410B2" w:rsidRDefault="000410B2" w:rsidP="000410B2">
            <w:pPr>
              <w:rPr>
                <w:rFonts w:cs="Arial"/>
              </w:rPr>
            </w:pPr>
            <w:r w:rsidRPr="000410B2">
              <w:rPr>
                <w:rFonts w:cs="Arial"/>
              </w:rPr>
              <w:t>Public consultation opens on the proposed ban of BPA and related bisphenols in food contact materials (FCMs), including scope, derogations (Annex B), and transitional measures.</w:t>
            </w:r>
          </w:p>
        </w:tc>
      </w:tr>
      <w:tr w:rsidR="000410B2" w:rsidRPr="000410B2" w14:paraId="42072350" w14:textId="77777777" w:rsidTr="005330C5">
        <w:tc>
          <w:tcPr>
            <w:tcW w:w="0" w:type="auto"/>
            <w:hideMark/>
          </w:tcPr>
          <w:p w14:paraId="6472647D" w14:textId="77777777" w:rsidR="000410B2" w:rsidRPr="000410B2" w:rsidRDefault="000410B2" w:rsidP="000410B2">
            <w:pPr>
              <w:rPr>
                <w:rFonts w:cs="Arial"/>
                <w:b/>
                <w:bCs/>
              </w:rPr>
            </w:pPr>
            <w:r w:rsidRPr="000410B2">
              <w:rPr>
                <w:rFonts w:cs="Arial"/>
                <w:b/>
                <w:bCs/>
              </w:rPr>
              <w:t>Consultation closes</w:t>
            </w:r>
          </w:p>
        </w:tc>
        <w:tc>
          <w:tcPr>
            <w:tcW w:w="0" w:type="auto"/>
            <w:hideMark/>
          </w:tcPr>
          <w:p w14:paraId="1385EC8D" w14:textId="77777777" w:rsidR="000410B2" w:rsidRPr="000410B2" w:rsidRDefault="000410B2" w:rsidP="000410B2">
            <w:pPr>
              <w:rPr>
                <w:rFonts w:cs="Arial"/>
              </w:rPr>
            </w:pPr>
            <w:r w:rsidRPr="000410B2">
              <w:rPr>
                <w:rFonts w:cs="Arial"/>
              </w:rPr>
              <w:t>24 December 2025</w:t>
            </w:r>
          </w:p>
        </w:tc>
        <w:tc>
          <w:tcPr>
            <w:tcW w:w="0" w:type="auto"/>
            <w:hideMark/>
          </w:tcPr>
          <w:p w14:paraId="13D0883C" w14:textId="77777777" w:rsidR="000410B2" w:rsidRPr="000410B2" w:rsidRDefault="000410B2" w:rsidP="000410B2">
            <w:pPr>
              <w:rPr>
                <w:rFonts w:cs="Arial"/>
              </w:rPr>
            </w:pPr>
            <w:r w:rsidRPr="000410B2">
              <w:rPr>
                <w:rFonts w:cs="Arial"/>
              </w:rPr>
              <w:t>12-week consultation period ends. Stakeholder responses reviewed and summarised.</w:t>
            </w:r>
          </w:p>
        </w:tc>
      </w:tr>
      <w:tr w:rsidR="000410B2" w:rsidRPr="000410B2" w14:paraId="373BD64B" w14:textId="77777777" w:rsidTr="005330C5">
        <w:tc>
          <w:tcPr>
            <w:tcW w:w="0" w:type="auto"/>
            <w:hideMark/>
          </w:tcPr>
          <w:p w14:paraId="26E292C6" w14:textId="77777777" w:rsidR="000410B2" w:rsidRPr="000410B2" w:rsidRDefault="000410B2" w:rsidP="000410B2">
            <w:pPr>
              <w:rPr>
                <w:rFonts w:cs="Arial"/>
                <w:b/>
                <w:bCs/>
              </w:rPr>
            </w:pPr>
            <w:r w:rsidRPr="000410B2">
              <w:rPr>
                <w:rFonts w:cs="Arial"/>
                <w:b/>
                <w:bCs/>
              </w:rPr>
              <w:t>Policy finalisation</w:t>
            </w:r>
          </w:p>
        </w:tc>
        <w:tc>
          <w:tcPr>
            <w:tcW w:w="0" w:type="auto"/>
            <w:hideMark/>
          </w:tcPr>
          <w:p w14:paraId="5D25802F" w14:textId="77777777" w:rsidR="000410B2" w:rsidRPr="000410B2" w:rsidRDefault="000410B2" w:rsidP="000410B2">
            <w:pPr>
              <w:rPr>
                <w:rFonts w:cs="Arial"/>
              </w:rPr>
            </w:pPr>
            <w:r w:rsidRPr="000410B2">
              <w:rPr>
                <w:rFonts w:cs="Arial"/>
              </w:rPr>
              <w:t>January – February 2026</w:t>
            </w:r>
          </w:p>
        </w:tc>
        <w:tc>
          <w:tcPr>
            <w:tcW w:w="0" w:type="auto"/>
            <w:hideMark/>
          </w:tcPr>
          <w:p w14:paraId="02B36524" w14:textId="77777777" w:rsidR="000410B2" w:rsidRPr="000410B2" w:rsidRDefault="000410B2" w:rsidP="000410B2">
            <w:pPr>
              <w:rPr>
                <w:rFonts w:cs="Arial"/>
              </w:rPr>
            </w:pPr>
            <w:r w:rsidRPr="000410B2">
              <w:rPr>
                <w:rFonts w:cs="Arial"/>
              </w:rPr>
              <w:t>Final policy position agreed, incorporating consultation feedback. Timed to avoid overlap with pre-election periods in devolved administrations.</w:t>
            </w:r>
          </w:p>
        </w:tc>
      </w:tr>
      <w:tr w:rsidR="000410B2" w:rsidRPr="000410B2" w14:paraId="343BFECB" w14:textId="77777777" w:rsidTr="005330C5">
        <w:tc>
          <w:tcPr>
            <w:tcW w:w="0" w:type="auto"/>
            <w:hideMark/>
          </w:tcPr>
          <w:p w14:paraId="0D98C847" w14:textId="77777777" w:rsidR="000410B2" w:rsidRPr="000410B2" w:rsidRDefault="000410B2" w:rsidP="000410B2">
            <w:pPr>
              <w:rPr>
                <w:rFonts w:cs="Arial"/>
                <w:b/>
                <w:bCs/>
              </w:rPr>
            </w:pPr>
            <w:r w:rsidRPr="000410B2">
              <w:rPr>
                <w:rFonts w:cs="Arial"/>
                <w:b/>
                <w:bCs/>
              </w:rPr>
              <w:t>Administrative measures</w:t>
            </w:r>
          </w:p>
        </w:tc>
        <w:tc>
          <w:tcPr>
            <w:tcW w:w="0" w:type="auto"/>
            <w:hideMark/>
          </w:tcPr>
          <w:p w14:paraId="39480BC8" w14:textId="77777777" w:rsidR="000410B2" w:rsidRPr="000410B2" w:rsidRDefault="000410B2" w:rsidP="000410B2">
            <w:pPr>
              <w:rPr>
                <w:rFonts w:cs="Arial"/>
              </w:rPr>
            </w:pPr>
            <w:r w:rsidRPr="000410B2">
              <w:rPr>
                <w:rFonts w:cs="Arial"/>
              </w:rPr>
              <w:t>February – March 2026</w:t>
            </w:r>
          </w:p>
        </w:tc>
        <w:tc>
          <w:tcPr>
            <w:tcW w:w="0" w:type="auto"/>
            <w:hideMark/>
          </w:tcPr>
          <w:p w14:paraId="1BF8D625" w14:textId="232574D2" w:rsidR="000410B2" w:rsidRPr="000410B2" w:rsidRDefault="00DB3EA9" w:rsidP="000410B2">
            <w:pPr>
              <w:rPr>
                <w:rFonts w:cs="Arial"/>
              </w:rPr>
            </w:pPr>
            <w:r>
              <w:rPr>
                <w:rFonts w:cs="Arial"/>
              </w:rPr>
              <w:t>FCM p</w:t>
            </w:r>
            <w:r w:rsidR="000410B2" w:rsidRPr="000410B2">
              <w:rPr>
                <w:rFonts w:cs="Arial"/>
              </w:rPr>
              <w:t>lastics register updated to remove BPA and structurally related bisphenols and reflect any derogations.</w:t>
            </w:r>
          </w:p>
        </w:tc>
      </w:tr>
      <w:tr w:rsidR="000410B2" w:rsidRPr="000410B2" w14:paraId="28AB1F85" w14:textId="77777777" w:rsidTr="005330C5">
        <w:tc>
          <w:tcPr>
            <w:tcW w:w="0" w:type="auto"/>
            <w:hideMark/>
          </w:tcPr>
          <w:p w14:paraId="7CAA71CE" w14:textId="77777777" w:rsidR="000410B2" w:rsidRPr="000410B2" w:rsidRDefault="000410B2" w:rsidP="000410B2">
            <w:pPr>
              <w:rPr>
                <w:rFonts w:cs="Arial"/>
                <w:b/>
                <w:bCs/>
              </w:rPr>
            </w:pPr>
            <w:r w:rsidRPr="000410B2">
              <w:rPr>
                <w:rFonts w:cs="Arial"/>
                <w:b/>
                <w:bCs/>
              </w:rPr>
              <w:t>Drafting of Statutory Instrument (SI)</w:t>
            </w:r>
          </w:p>
        </w:tc>
        <w:tc>
          <w:tcPr>
            <w:tcW w:w="0" w:type="auto"/>
            <w:hideMark/>
          </w:tcPr>
          <w:p w14:paraId="31DCF7A7" w14:textId="77777777" w:rsidR="000410B2" w:rsidRPr="000410B2" w:rsidRDefault="000410B2" w:rsidP="000410B2">
            <w:pPr>
              <w:rPr>
                <w:rFonts w:cs="Arial"/>
              </w:rPr>
            </w:pPr>
            <w:r w:rsidRPr="000410B2">
              <w:rPr>
                <w:rFonts w:cs="Arial"/>
              </w:rPr>
              <w:t>March – May 2026</w:t>
            </w:r>
          </w:p>
        </w:tc>
        <w:tc>
          <w:tcPr>
            <w:tcW w:w="0" w:type="auto"/>
            <w:hideMark/>
          </w:tcPr>
          <w:p w14:paraId="0515996A" w14:textId="77777777" w:rsidR="000410B2" w:rsidRPr="000410B2" w:rsidRDefault="000410B2" w:rsidP="000410B2">
            <w:pPr>
              <w:rPr>
                <w:rFonts w:cs="Arial"/>
              </w:rPr>
            </w:pPr>
            <w:r w:rsidRPr="000410B2">
              <w:rPr>
                <w:rFonts w:cs="Arial"/>
              </w:rPr>
              <w:t>SI prepared to: amend Article 6 of assimilated Regulation 10/2011, insert derogation clause, and revoke assimilated Regulation 2018/213. Drafting may be paced to accommodate devolved government election cycles.</w:t>
            </w:r>
          </w:p>
        </w:tc>
      </w:tr>
      <w:tr w:rsidR="000410B2" w:rsidRPr="000410B2" w14:paraId="39BD12FA" w14:textId="77777777" w:rsidTr="005330C5">
        <w:tc>
          <w:tcPr>
            <w:tcW w:w="0" w:type="auto"/>
            <w:hideMark/>
          </w:tcPr>
          <w:p w14:paraId="47E50B01" w14:textId="77777777" w:rsidR="000410B2" w:rsidRPr="000410B2" w:rsidRDefault="000410B2" w:rsidP="000410B2">
            <w:pPr>
              <w:rPr>
                <w:rFonts w:cs="Arial"/>
                <w:b/>
                <w:bCs/>
              </w:rPr>
            </w:pPr>
            <w:r w:rsidRPr="000410B2">
              <w:rPr>
                <w:rFonts w:cs="Arial"/>
                <w:b/>
                <w:bCs/>
              </w:rPr>
              <w:t>Ministerial approval &amp; SI laid</w:t>
            </w:r>
          </w:p>
        </w:tc>
        <w:tc>
          <w:tcPr>
            <w:tcW w:w="0" w:type="auto"/>
            <w:hideMark/>
          </w:tcPr>
          <w:p w14:paraId="38E40F76" w14:textId="77777777" w:rsidR="000410B2" w:rsidRPr="000410B2" w:rsidRDefault="000410B2" w:rsidP="000410B2">
            <w:pPr>
              <w:rPr>
                <w:rFonts w:cs="Arial"/>
              </w:rPr>
            </w:pPr>
            <w:r w:rsidRPr="000410B2">
              <w:rPr>
                <w:rFonts w:cs="Arial"/>
              </w:rPr>
              <w:t>June – July 2026</w:t>
            </w:r>
          </w:p>
        </w:tc>
        <w:tc>
          <w:tcPr>
            <w:tcW w:w="0" w:type="auto"/>
            <w:hideMark/>
          </w:tcPr>
          <w:p w14:paraId="20320380" w14:textId="2B189462" w:rsidR="000410B2" w:rsidRPr="000410B2" w:rsidRDefault="000410B2" w:rsidP="000410B2">
            <w:pPr>
              <w:rPr>
                <w:rFonts w:cs="Arial"/>
              </w:rPr>
            </w:pPr>
            <w:r w:rsidRPr="000410B2">
              <w:rPr>
                <w:rFonts w:cs="Arial"/>
              </w:rPr>
              <w:t xml:space="preserve">SI laid before Parliament following Ministerial sign-off. Timing may be adjusted to ensure engagement with new </w:t>
            </w:r>
            <w:r w:rsidR="6405AAE1" w:rsidRPr="37761FE2">
              <w:rPr>
                <w:rFonts w:cs="Arial"/>
              </w:rPr>
              <w:t>M</w:t>
            </w:r>
            <w:r w:rsidR="61858A16" w:rsidRPr="37761FE2">
              <w:rPr>
                <w:rFonts w:cs="Arial"/>
              </w:rPr>
              <w:t>inisters</w:t>
            </w:r>
            <w:r w:rsidRPr="000410B2">
              <w:rPr>
                <w:rFonts w:cs="Arial"/>
              </w:rPr>
              <w:t xml:space="preserve"> post-election in Wales</w:t>
            </w:r>
            <w:r w:rsidR="005B50AD">
              <w:rPr>
                <w:rFonts w:cs="Arial"/>
              </w:rPr>
              <w:t>.</w:t>
            </w:r>
          </w:p>
        </w:tc>
      </w:tr>
      <w:tr w:rsidR="000410B2" w:rsidRPr="000410B2" w14:paraId="540C15D7" w14:textId="77777777" w:rsidTr="005330C5">
        <w:tc>
          <w:tcPr>
            <w:tcW w:w="0" w:type="auto"/>
            <w:hideMark/>
          </w:tcPr>
          <w:p w14:paraId="258DD39E" w14:textId="77777777" w:rsidR="000410B2" w:rsidRPr="000410B2" w:rsidRDefault="000410B2" w:rsidP="000410B2">
            <w:pPr>
              <w:rPr>
                <w:rFonts w:cs="Arial"/>
                <w:b/>
                <w:bCs/>
              </w:rPr>
            </w:pPr>
            <w:r w:rsidRPr="000410B2">
              <w:rPr>
                <w:rFonts w:cs="Arial"/>
                <w:b/>
                <w:bCs/>
              </w:rPr>
              <w:t>Entry into force</w:t>
            </w:r>
          </w:p>
        </w:tc>
        <w:tc>
          <w:tcPr>
            <w:tcW w:w="0" w:type="auto"/>
            <w:hideMark/>
          </w:tcPr>
          <w:p w14:paraId="4CFC2339" w14:textId="77777777" w:rsidR="000410B2" w:rsidRPr="000410B2" w:rsidRDefault="000410B2" w:rsidP="000410B2">
            <w:pPr>
              <w:rPr>
                <w:rFonts w:cs="Arial"/>
              </w:rPr>
            </w:pPr>
            <w:r w:rsidRPr="000410B2">
              <w:rPr>
                <w:rFonts w:cs="Arial"/>
              </w:rPr>
              <w:t>Mid to Late 2026</w:t>
            </w:r>
          </w:p>
        </w:tc>
        <w:tc>
          <w:tcPr>
            <w:tcW w:w="0" w:type="auto"/>
            <w:hideMark/>
          </w:tcPr>
          <w:p w14:paraId="7FE01ED7" w14:textId="553767F0" w:rsidR="000410B2" w:rsidRPr="000410B2" w:rsidRDefault="000410B2" w:rsidP="000410B2">
            <w:pPr>
              <w:rPr>
                <w:rFonts w:cs="Arial"/>
              </w:rPr>
            </w:pPr>
            <w:r w:rsidRPr="000410B2">
              <w:rPr>
                <w:rFonts w:cs="Arial"/>
              </w:rPr>
              <w:t>Ban takes effect, with transitional measures included in the SI to allow industry time to comply. While some EU transitional deadlines may have passed, it is expected that most businesses will have already reformulated</w:t>
            </w:r>
            <w:r w:rsidR="00BC3B79">
              <w:rPr>
                <w:rFonts w:cs="Arial"/>
              </w:rPr>
              <w:t>,</w:t>
            </w:r>
            <w:r w:rsidRPr="000410B2">
              <w:rPr>
                <w:rFonts w:cs="Arial"/>
              </w:rPr>
              <w:t xml:space="preserve"> and the market will largely have come into compliance.</w:t>
            </w:r>
          </w:p>
        </w:tc>
      </w:tr>
    </w:tbl>
    <w:p w14:paraId="39E1D431" w14:textId="77777777" w:rsidR="002E6FDB" w:rsidRDefault="002E6FDB" w:rsidP="00E44B30">
      <w:pPr>
        <w:rPr>
          <w:rFonts w:cs="Arial"/>
        </w:rPr>
      </w:pPr>
    </w:p>
    <w:p w14:paraId="6E0014C7" w14:textId="74B0B377" w:rsidR="00E44B30" w:rsidRPr="00B925DB" w:rsidRDefault="00E44B30" w:rsidP="00E44B30">
      <w:pPr>
        <w:rPr>
          <w:rFonts w:cs="Arial"/>
        </w:rPr>
      </w:pPr>
      <w:r w:rsidRPr="00B925DB">
        <w:rPr>
          <w:rFonts w:cs="Arial"/>
        </w:rPr>
        <w:t>This timeline ensures:</w:t>
      </w:r>
    </w:p>
    <w:p w14:paraId="1429FEF9" w14:textId="77777777" w:rsidR="00E44B30" w:rsidRPr="00B925DB" w:rsidRDefault="00E44B30" w:rsidP="00E44B30">
      <w:pPr>
        <w:numPr>
          <w:ilvl w:val="0"/>
          <w:numId w:val="36"/>
        </w:numPr>
        <w:spacing w:after="160" w:line="259" w:lineRule="auto"/>
        <w:rPr>
          <w:rFonts w:cs="Arial"/>
        </w:rPr>
      </w:pPr>
      <w:r w:rsidRPr="00B925DB">
        <w:rPr>
          <w:rFonts w:cs="Arial"/>
        </w:rPr>
        <w:t>A single-phase legislative process, consistent with the EU approach.</w:t>
      </w:r>
    </w:p>
    <w:p w14:paraId="2A27407E" w14:textId="77777777" w:rsidR="00E44B30" w:rsidRPr="00B925DB" w:rsidRDefault="00E44B30" w:rsidP="00E44B30">
      <w:pPr>
        <w:numPr>
          <w:ilvl w:val="0"/>
          <w:numId w:val="36"/>
        </w:numPr>
        <w:spacing w:after="160" w:line="259" w:lineRule="auto"/>
        <w:rPr>
          <w:rFonts w:cs="Arial"/>
        </w:rPr>
      </w:pPr>
      <w:r w:rsidRPr="00B925DB">
        <w:rPr>
          <w:rFonts w:cs="Arial"/>
        </w:rPr>
        <w:t>Sufficient time for consultation analysis, policy refinement, and legislative drafting.</w:t>
      </w:r>
    </w:p>
    <w:p w14:paraId="3EE1F7CB" w14:textId="77777777" w:rsidR="00E44B30" w:rsidRPr="00B925DB" w:rsidRDefault="00E44B30" w:rsidP="00E44B30">
      <w:pPr>
        <w:numPr>
          <w:ilvl w:val="0"/>
          <w:numId w:val="36"/>
        </w:numPr>
        <w:spacing w:after="160" w:line="259" w:lineRule="auto"/>
        <w:rPr>
          <w:rFonts w:cs="Arial"/>
        </w:rPr>
      </w:pPr>
      <w:r w:rsidRPr="00B925DB">
        <w:rPr>
          <w:rFonts w:cs="Arial"/>
        </w:rPr>
        <w:t>A clear path to ministerial decision-making and implementation.</w:t>
      </w:r>
    </w:p>
    <w:p w14:paraId="659658D6" w14:textId="7A4B67EA" w:rsidR="00C01C91" w:rsidRPr="00AB3B90" w:rsidRDefault="00C01C91" w:rsidP="009A112A">
      <w:r w:rsidRPr="00DB3418">
        <w:rPr>
          <w:b/>
          <w:bCs/>
        </w:rPr>
        <w:t>To note</w:t>
      </w:r>
      <w:r w:rsidRPr="00DB3418">
        <w:t xml:space="preserve"> that this is a pro</w:t>
      </w:r>
      <w:r w:rsidR="000A2912" w:rsidRPr="00DB3418">
        <w:t>visiona</w:t>
      </w:r>
      <w:r w:rsidR="00564694" w:rsidRPr="00DB3418">
        <w:t>l</w:t>
      </w:r>
      <w:r w:rsidR="000268E6" w:rsidRPr="00DB3418">
        <w:t xml:space="preserve"> timeline</w:t>
      </w:r>
      <w:r w:rsidRPr="00DB3418">
        <w:t xml:space="preserve"> and may be subject to change, </w:t>
      </w:r>
      <w:r w:rsidR="00E32FDC" w:rsidRPr="00DB3418">
        <w:t>as</w:t>
      </w:r>
      <w:r w:rsidRPr="00DB3418">
        <w:t xml:space="preserve"> some of the estimated dates and actions may lapse or shift depending on evolving policy priorities and implementation timelines.</w:t>
      </w:r>
    </w:p>
    <w:p w14:paraId="7DEBEE4D" w14:textId="77777777" w:rsidR="00E44B30" w:rsidRPr="00AB3B90" w:rsidRDefault="00E44B30" w:rsidP="00E44B30"/>
    <w:p w14:paraId="28418CB7" w14:textId="77777777" w:rsidR="00D913B5" w:rsidRPr="002B2126" w:rsidRDefault="00D913B5" w:rsidP="00D913B5">
      <w:pPr>
        <w:spacing w:after="160" w:line="259" w:lineRule="auto"/>
        <w:contextualSpacing/>
      </w:pPr>
    </w:p>
    <w:p w14:paraId="63534296" w14:textId="169FF462" w:rsidR="00A70386" w:rsidRDefault="009A0FCA" w:rsidP="007351C7">
      <w:pPr>
        <w:pStyle w:val="Heading1"/>
        <w:rPr>
          <w:iCs/>
          <w:color w:val="000000" w:themeColor="text1"/>
        </w:rPr>
      </w:pPr>
      <w:bookmarkStart w:id="50" w:name="_Toc210141727"/>
      <w:bookmarkStart w:id="51" w:name="_Toc34638450"/>
      <w:r w:rsidRPr="005D60B5">
        <w:t xml:space="preserve">Annex </w:t>
      </w:r>
      <w:r w:rsidR="003302D6">
        <w:t>E</w:t>
      </w:r>
      <w:r w:rsidRPr="005D60B5">
        <w:t>: List of interested parties</w:t>
      </w:r>
      <w:bookmarkEnd w:id="50"/>
      <w:r>
        <w:t xml:space="preserve"> </w:t>
      </w:r>
      <w:bookmarkEnd w:id="41"/>
      <w:bookmarkEnd w:id="42"/>
      <w:bookmarkEnd w:id="51"/>
    </w:p>
    <w:p w14:paraId="18B88B90" w14:textId="2FA7B5F7" w:rsidR="00F208AE" w:rsidRDefault="00F208AE" w:rsidP="00F208AE">
      <w:r>
        <w:t>Metal Packaging Manufacturers Association</w:t>
      </w:r>
      <w:r w:rsidR="00CA2850">
        <w:t xml:space="preserve"> (MPMA)</w:t>
      </w:r>
    </w:p>
    <w:p w14:paraId="7ACEDF49" w14:textId="72E46CAB" w:rsidR="00F208AE" w:rsidRDefault="00CA2850" w:rsidP="00F208AE">
      <w:r w:rsidRPr="00CA2850">
        <w:t>Department for Environment, Food &amp; Rural Affairs</w:t>
      </w:r>
      <w:r>
        <w:t xml:space="preserve"> (Defra)</w:t>
      </w:r>
    </w:p>
    <w:p w14:paraId="4E803FCC" w14:textId="793D32DD" w:rsidR="00F208AE" w:rsidRDefault="00F208AE" w:rsidP="00F208AE">
      <w:r>
        <w:t>D</w:t>
      </w:r>
      <w:r w:rsidR="006E1551">
        <w:t>epartment of Health and Social Care</w:t>
      </w:r>
      <w:r w:rsidR="00CA2850">
        <w:t xml:space="preserve"> (DHSC)</w:t>
      </w:r>
    </w:p>
    <w:p w14:paraId="291C4309" w14:textId="44FDE43C" w:rsidR="00F208AE" w:rsidRDefault="00F208AE" w:rsidP="00F208AE">
      <w:r>
        <w:t>British Plastics Federation</w:t>
      </w:r>
      <w:r w:rsidR="00CA2850">
        <w:t xml:space="preserve"> (BPF)</w:t>
      </w:r>
    </w:p>
    <w:p w14:paraId="3C448683" w14:textId="634707E0" w:rsidR="00F208AE" w:rsidRDefault="00F208AE" w:rsidP="00F208AE">
      <w:r>
        <w:t>British Coatings Federation</w:t>
      </w:r>
      <w:r w:rsidR="009D426A">
        <w:t xml:space="preserve"> (BCF)</w:t>
      </w:r>
    </w:p>
    <w:p w14:paraId="2BE92C0E" w14:textId="0CDE5ACD" w:rsidR="00F208AE" w:rsidRDefault="00F208AE" w:rsidP="00F208AE">
      <w:r>
        <w:t>British Retail Consortium</w:t>
      </w:r>
      <w:r w:rsidR="00CA2850">
        <w:t xml:space="preserve"> (BRC)</w:t>
      </w:r>
    </w:p>
    <w:p w14:paraId="2B4BCE1C" w14:textId="00709F94" w:rsidR="00F208AE" w:rsidRDefault="00F208AE" w:rsidP="00F208AE">
      <w:r>
        <w:t>Food and Drinks Federation</w:t>
      </w:r>
      <w:r w:rsidR="00CA2850">
        <w:t xml:space="preserve"> (FDF)</w:t>
      </w:r>
    </w:p>
    <w:p w14:paraId="162EC46B" w14:textId="0BF11BDD" w:rsidR="00F208AE" w:rsidRDefault="00F208AE" w:rsidP="00F208AE">
      <w:r>
        <w:t>British Soft Drinks Association</w:t>
      </w:r>
      <w:r w:rsidR="00CA2850">
        <w:t xml:space="preserve"> (B</w:t>
      </w:r>
      <w:r w:rsidR="00791E3E">
        <w:t>SDA)</w:t>
      </w:r>
    </w:p>
    <w:p w14:paraId="3B633D91" w14:textId="77777777" w:rsidR="00F208AE" w:rsidRDefault="00F208AE" w:rsidP="00F208AE">
      <w:proofErr w:type="spellStart"/>
      <w:r>
        <w:t>ChemTrust</w:t>
      </w:r>
      <w:proofErr w:type="spellEnd"/>
    </w:p>
    <w:p w14:paraId="693DB964" w14:textId="77777777" w:rsidR="00F208AE" w:rsidRDefault="00F208AE" w:rsidP="00F208AE">
      <w:r>
        <w:t>Breast Cancer UK</w:t>
      </w:r>
    </w:p>
    <w:p w14:paraId="7FFE29BC" w14:textId="77777777" w:rsidR="00F208AE" w:rsidRDefault="00F208AE" w:rsidP="00F208AE">
      <w:proofErr w:type="spellStart"/>
      <w:r>
        <w:t>Fidra</w:t>
      </w:r>
      <w:proofErr w:type="spellEnd"/>
    </w:p>
    <w:p w14:paraId="54940D87" w14:textId="77777777" w:rsidR="00F208AE" w:rsidRDefault="00F208AE" w:rsidP="00F208AE">
      <w:r>
        <w:t>Campden BRI</w:t>
      </w:r>
    </w:p>
    <w:p w14:paraId="4ED7D42D" w14:textId="77777777" w:rsidR="00F208AE" w:rsidRDefault="00F208AE" w:rsidP="00F208AE">
      <w:r>
        <w:t>Plastics Europe</w:t>
      </w:r>
    </w:p>
    <w:p w14:paraId="052CD633" w14:textId="780356D1" w:rsidR="009222D9" w:rsidRDefault="00791E3E" w:rsidP="009222D9">
      <w:r>
        <w:t xml:space="preserve">UK Committee </w:t>
      </w:r>
      <w:r w:rsidR="00A102DE">
        <w:t>(</w:t>
      </w:r>
      <w:r w:rsidR="009222D9">
        <w:t>COT</w:t>
      </w:r>
      <w:r w:rsidR="00A102DE">
        <w:t>)</w:t>
      </w:r>
    </w:p>
    <w:p w14:paraId="24220C6A" w14:textId="2B70FCCC" w:rsidR="009222D9" w:rsidRDefault="001A6CB0" w:rsidP="009222D9">
      <w:r>
        <w:t>Food Contact Materials Joi</w:t>
      </w:r>
      <w:r w:rsidR="00A76EA1">
        <w:t>nt Expert Group (</w:t>
      </w:r>
      <w:r w:rsidR="009222D9">
        <w:t>FCMJEG</w:t>
      </w:r>
      <w:r w:rsidR="0078265F">
        <w:t>)</w:t>
      </w:r>
    </w:p>
    <w:p w14:paraId="016720DD" w14:textId="260EDD27" w:rsidR="009222D9" w:rsidRDefault="009222D9" w:rsidP="00F208AE">
      <w:r>
        <w:t>Crown Packaging</w:t>
      </w:r>
    </w:p>
    <w:p w14:paraId="21ADBE7D" w14:textId="7A319208" w:rsidR="00A96EBF" w:rsidRPr="008F2EE7" w:rsidRDefault="00A96EBF" w:rsidP="00F208AE">
      <w:pPr>
        <w:rPr>
          <w:b/>
          <w:bCs/>
        </w:rPr>
      </w:pPr>
      <w:r w:rsidRPr="008F2EE7">
        <w:rPr>
          <w:b/>
          <w:bCs/>
        </w:rPr>
        <w:t>Wales</w:t>
      </w:r>
    </w:p>
    <w:p w14:paraId="19C653A5" w14:textId="626665DE" w:rsidR="0017614B" w:rsidRDefault="0017614B" w:rsidP="00F208AE">
      <w:r>
        <w:t>W</w:t>
      </w:r>
      <w:r w:rsidR="00A40EA9">
        <w:t>elsh</w:t>
      </w:r>
      <w:r w:rsidR="00A36835">
        <w:t xml:space="preserve"> Government</w:t>
      </w:r>
    </w:p>
    <w:p w14:paraId="48F39DE9" w14:textId="7BD0F14F" w:rsidR="00F208AE" w:rsidRDefault="00F208AE" w:rsidP="00F208AE">
      <w:r>
        <w:t>Food and Drinks Federation Cymru</w:t>
      </w:r>
    </w:p>
    <w:p w14:paraId="44FDCC23" w14:textId="77777777" w:rsidR="00F208AE" w:rsidRDefault="00F208AE" w:rsidP="00F208AE">
      <w:r>
        <w:t>British Retail Consortium</w:t>
      </w:r>
    </w:p>
    <w:p w14:paraId="570F2FB2" w14:textId="54FD5D96" w:rsidR="009222D9" w:rsidRDefault="592C3E59" w:rsidP="00F208AE">
      <w:r>
        <w:t>Zero2Five</w:t>
      </w:r>
      <w:r w:rsidR="6DBD5A23">
        <w:t xml:space="preserve"> Food Industry Centre</w:t>
      </w:r>
    </w:p>
    <w:p w14:paraId="7C8E1A09" w14:textId="2A8439C9" w:rsidR="00A454FC" w:rsidRDefault="19B11F11" w:rsidP="00F208AE">
      <w:r>
        <w:t>Food Technology Centre</w:t>
      </w:r>
    </w:p>
    <w:p w14:paraId="2211D7A9" w14:textId="12D6EAAF" w:rsidR="003F2163" w:rsidRDefault="19B11F11" w:rsidP="00F208AE">
      <w:r>
        <w:t>Food Centre Wales</w:t>
      </w:r>
    </w:p>
    <w:p w14:paraId="4ADACE08" w14:textId="19D5F09D" w:rsidR="009222D9" w:rsidRPr="008F2EE7" w:rsidRDefault="009222D9" w:rsidP="00F208AE">
      <w:pPr>
        <w:rPr>
          <w:b/>
          <w:bCs/>
        </w:rPr>
      </w:pPr>
      <w:r w:rsidRPr="008F2EE7">
        <w:rPr>
          <w:b/>
          <w:bCs/>
        </w:rPr>
        <w:t>Northern Ireland</w:t>
      </w:r>
    </w:p>
    <w:p w14:paraId="58FCB5D2" w14:textId="2C1BF2D4" w:rsidR="00707E3F" w:rsidRDefault="00707E3F" w:rsidP="00F208AE">
      <w:r>
        <w:t>The Northern Ireland Executive</w:t>
      </w:r>
    </w:p>
    <w:p w14:paraId="578D220C" w14:textId="0339BC62" w:rsidR="00F208AE" w:rsidRDefault="00F208AE" w:rsidP="00F208AE">
      <w:r>
        <w:t xml:space="preserve">Northern Ireland Food and Drink Federation </w:t>
      </w:r>
    </w:p>
    <w:p w14:paraId="5C5FFD33" w14:textId="77777777" w:rsidR="00F208AE" w:rsidRDefault="00F208AE" w:rsidP="00F208AE">
      <w:r>
        <w:t>NI Retail Consortium</w:t>
      </w:r>
    </w:p>
    <w:p w14:paraId="69817B5F" w14:textId="77777777" w:rsidR="00F208AE" w:rsidRDefault="00F208AE" w:rsidP="00F208AE">
      <w:r>
        <w:t>Invest NI</w:t>
      </w:r>
    </w:p>
    <w:p w14:paraId="2766D04B" w14:textId="77777777" w:rsidR="00F208AE" w:rsidRDefault="00F208AE" w:rsidP="00F208AE">
      <w:r>
        <w:t>CAFRE</w:t>
      </w:r>
    </w:p>
    <w:p w14:paraId="2E518C7D" w14:textId="77777777" w:rsidR="00F208AE" w:rsidRDefault="00F208AE" w:rsidP="00F208AE">
      <w:r>
        <w:t>QUB</w:t>
      </w:r>
    </w:p>
    <w:p w14:paraId="09875694" w14:textId="77777777" w:rsidR="00F208AE" w:rsidRDefault="00F208AE" w:rsidP="00F208AE">
      <w:r>
        <w:t>NI Polymers Association</w:t>
      </w:r>
    </w:p>
    <w:p w14:paraId="1DBC6DD3" w14:textId="6F3595A0" w:rsidR="00453C51" w:rsidRPr="00453C51" w:rsidRDefault="00453C51" w:rsidP="008F2EE7"/>
    <w:sectPr w:rsidR="00453C51" w:rsidRPr="00453C51" w:rsidSect="00C76F94">
      <w:headerReference w:type="even" r:id="rId31"/>
      <w:headerReference w:type="default" r:id="rId32"/>
      <w:footerReference w:type="even" r:id="rId33"/>
      <w:footerReference w:type="default" r:id="rId34"/>
      <w:headerReference w:type="first" r:id="rId35"/>
      <w:footerReference w:type="first" r:id="rId3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84B7" w14:textId="77777777" w:rsidR="005C4E19" w:rsidRDefault="005C4E19" w:rsidP="005C657D">
      <w:pPr>
        <w:spacing w:after="0" w:line="240" w:lineRule="auto"/>
      </w:pPr>
      <w:r>
        <w:separator/>
      </w:r>
    </w:p>
    <w:p w14:paraId="46D73EBD" w14:textId="77777777" w:rsidR="005C4E19" w:rsidRDefault="005C4E19"/>
  </w:endnote>
  <w:endnote w:type="continuationSeparator" w:id="0">
    <w:p w14:paraId="624848CE" w14:textId="77777777" w:rsidR="005C4E19" w:rsidRDefault="005C4E19" w:rsidP="005C657D">
      <w:pPr>
        <w:spacing w:after="0" w:line="240" w:lineRule="auto"/>
      </w:pPr>
      <w:r>
        <w:continuationSeparator/>
      </w:r>
    </w:p>
    <w:p w14:paraId="0A1DEB2B" w14:textId="77777777" w:rsidR="005C4E19" w:rsidRDefault="005C4E19"/>
  </w:endnote>
  <w:endnote w:type="continuationNotice" w:id="1">
    <w:p w14:paraId="26BE9667" w14:textId="77777777" w:rsidR="005C4E19" w:rsidRDefault="005C4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01A9" w14:textId="77777777" w:rsidR="00713F12" w:rsidRDefault="00713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7B78A6CE" w14:textId="77777777" w:rsidR="00A86DA0" w:rsidRDefault="008975A3" w:rsidP="00755882">
        <w:pPr>
          <w:pStyle w:val="Footer"/>
          <w:spacing w:before="240"/>
          <w:jc w:val="center"/>
        </w:pPr>
        <w:r>
          <w:fldChar w:fldCharType="begin"/>
        </w:r>
        <w:r>
          <w:instrText xml:space="preserve"> PAGE   \* MERGEFORMAT </w:instrText>
        </w:r>
        <w:r>
          <w:fldChar w:fldCharType="separate"/>
        </w:r>
        <w:r w:rsidR="003E0AED">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EFE" w14:textId="77777777" w:rsidR="00713F12" w:rsidRDefault="00713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0FBA" w14:textId="77777777" w:rsidR="005C4E19" w:rsidRDefault="005C4E19" w:rsidP="005C657D">
      <w:pPr>
        <w:spacing w:after="0" w:line="240" w:lineRule="auto"/>
      </w:pPr>
      <w:r>
        <w:separator/>
      </w:r>
    </w:p>
    <w:p w14:paraId="06FF376D" w14:textId="77777777" w:rsidR="005C4E19" w:rsidRDefault="005C4E19"/>
  </w:footnote>
  <w:footnote w:type="continuationSeparator" w:id="0">
    <w:p w14:paraId="39BDBE3E" w14:textId="77777777" w:rsidR="005C4E19" w:rsidRDefault="005C4E19" w:rsidP="005C657D">
      <w:pPr>
        <w:spacing w:after="0" w:line="240" w:lineRule="auto"/>
      </w:pPr>
      <w:r>
        <w:continuationSeparator/>
      </w:r>
    </w:p>
    <w:p w14:paraId="3F382F75" w14:textId="77777777" w:rsidR="005C4E19" w:rsidRDefault="005C4E19"/>
  </w:footnote>
  <w:footnote w:type="continuationNotice" w:id="1">
    <w:p w14:paraId="274B9976" w14:textId="77777777" w:rsidR="005C4E19" w:rsidRDefault="005C4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F67C" w14:textId="77777777" w:rsidR="00713F12" w:rsidRDefault="00713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1684" w14:textId="77777777" w:rsidR="00713F12" w:rsidRDefault="00713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1D50" w14:textId="77777777" w:rsidR="00713F12" w:rsidRDefault="00713F1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8y6A4wW" int2:invalidationBookmarkName="" int2:hashCode="AuJWVWdMWkcp2A" int2:id="7SiLo5c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2163862"/>
    <w:multiLevelType w:val="hybridMultilevel"/>
    <w:tmpl w:val="A8D0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4A70BA"/>
    <w:multiLevelType w:val="hybridMultilevel"/>
    <w:tmpl w:val="B570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FC34B1"/>
    <w:multiLevelType w:val="multilevel"/>
    <w:tmpl w:val="680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712D5"/>
    <w:multiLevelType w:val="hybridMultilevel"/>
    <w:tmpl w:val="4788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796824"/>
    <w:multiLevelType w:val="hybridMultilevel"/>
    <w:tmpl w:val="EC8EA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7A60DB9"/>
    <w:multiLevelType w:val="hybridMultilevel"/>
    <w:tmpl w:val="3B1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1B1F7D"/>
    <w:multiLevelType w:val="hybridMultilevel"/>
    <w:tmpl w:val="570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19DD74F9"/>
    <w:multiLevelType w:val="multilevel"/>
    <w:tmpl w:val="6AA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C3786"/>
    <w:multiLevelType w:val="hybridMultilevel"/>
    <w:tmpl w:val="B788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765E8"/>
    <w:multiLevelType w:val="hybridMultilevel"/>
    <w:tmpl w:val="92707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50C24"/>
    <w:multiLevelType w:val="multilevel"/>
    <w:tmpl w:val="023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DEC09A5"/>
    <w:multiLevelType w:val="hybridMultilevel"/>
    <w:tmpl w:val="8866309E"/>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B40D6F"/>
    <w:multiLevelType w:val="hybridMultilevel"/>
    <w:tmpl w:val="FE9EB2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F2142"/>
    <w:multiLevelType w:val="hybridMultilevel"/>
    <w:tmpl w:val="52B8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95803"/>
    <w:multiLevelType w:val="multilevel"/>
    <w:tmpl w:val="4E7E9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1F2796"/>
    <w:multiLevelType w:val="hybridMultilevel"/>
    <w:tmpl w:val="A9A2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7D21FB6"/>
    <w:multiLevelType w:val="hybridMultilevel"/>
    <w:tmpl w:val="68DE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E5823"/>
    <w:multiLevelType w:val="hybridMultilevel"/>
    <w:tmpl w:val="F23C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B7A3F"/>
    <w:multiLevelType w:val="hybridMultilevel"/>
    <w:tmpl w:val="4914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C1C23"/>
    <w:multiLevelType w:val="hybridMultilevel"/>
    <w:tmpl w:val="3D463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3D644B"/>
    <w:multiLevelType w:val="multilevel"/>
    <w:tmpl w:val="BEC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CB149E"/>
    <w:multiLevelType w:val="hybridMultilevel"/>
    <w:tmpl w:val="29CCD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2430159">
    <w:abstractNumId w:val="30"/>
  </w:num>
  <w:num w:numId="2" w16cid:durableId="787890105">
    <w:abstractNumId w:val="16"/>
  </w:num>
  <w:num w:numId="3" w16cid:durableId="1974672734">
    <w:abstractNumId w:val="7"/>
  </w:num>
  <w:num w:numId="4" w16cid:durableId="886377658">
    <w:abstractNumId w:val="6"/>
  </w:num>
  <w:num w:numId="5" w16cid:durableId="287207586">
    <w:abstractNumId w:val="5"/>
  </w:num>
  <w:num w:numId="6" w16cid:durableId="1465150501">
    <w:abstractNumId w:val="4"/>
  </w:num>
  <w:num w:numId="7" w16cid:durableId="778067078">
    <w:abstractNumId w:val="8"/>
  </w:num>
  <w:num w:numId="8" w16cid:durableId="4326051">
    <w:abstractNumId w:val="3"/>
  </w:num>
  <w:num w:numId="9" w16cid:durableId="1208252245">
    <w:abstractNumId w:val="2"/>
  </w:num>
  <w:num w:numId="10" w16cid:durableId="1594240992">
    <w:abstractNumId w:val="1"/>
  </w:num>
  <w:num w:numId="11" w16cid:durableId="1072237862">
    <w:abstractNumId w:val="0"/>
  </w:num>
  <w:num w:numId="12" w16cid:durableId="2048097244">
    <w:abstractNumId w:val="18"/>
  </w:num>
  <w:num w:numId="13" w16cid:durableId="1445149521">
    <w:abstractNumId w:val="24"/>
  </w:num>
  <w:num w:numId="14" w16cid:durableId="1030911820">
    <w:abstractNumId w:val="23"/>
  </w:num>
  <w:num w:numId="15" w16cid:durableId="1380351252">
    <w:abstractNumId w:val="17"/>
  </w:num>
  <w:num w:numId="16" w16cid:durableId="821459373">
    <w:abstractNumId w:val="25"/>
  </w:num>
  <w:num w:numId="17" w16cid:durableId="2048799019">
    <w:abstractNumId w:val="26"/>
  </w:num>
  <w:num w:numId="18" w16cid:durableId="101386003">
    <w:abstractNumId w:val="22"/>
  </w:num>
  <w:num w:numId="19" w16cid:durableId="876892368">
    <w:abstractNumId w:val="32"/>
  </w:num>
  <w:num w:numId="20" w16cid:durableId="1564442574">
    <w:abstractNumId w:val="35"/>
  </w:num>
  <w:num w:numId="21" w16cid:durableId="1592352802">
    <w:abstractNumId w:val="11"/>
  </w:num>
  <w:num w:numId="22" w16cid:durableId="1313290656">
    <w:abstractNumId w:val="34"/>
  </w:num>
  <w:num w:numId="23" w16cid:durableId="1952783133">
    <w:abstractNumId w:val="31"/>
  </w:num>
  <w:num w:numId="24" w16cid:durableId="1392339256">
    <w:abstractNumId w:val="27"/>
  </w:num>
  <w:num w:numId="25" w16cid:durableId="1859005282">
    <w:abstractNumId w:val="33"/>
  </w:num>
  <w:num w:numId="26" w16cid:durableId="550771235">
    <w:abstractNumId w:val="29"/>
  </w:num>
  <w:num w:numId="27" w16cid:durableId="1224557946">
    <w:abstractNumId w:val="20"/>
  </w:num>
  <w:num w:numId="28" w16cid:durableId="629745913">
    <w:abstractNumId w:val="14"/>
  </w:num>
  <w:num w:numId="29" w16cid:durableId="1479572551">
    <w:abstractNumId w:val="13"/>
  </w:num>
  <w:num w:numId="30" w16cid:durableId="640770514">
    <w:abstractNumId w:val="36"/>
  </w:num>
  <w:num w:numId="31" w16cid:durableId="422537007">
    <w:abstractNumId w:val="28"/>
  </w:num>
  <w:num w:numId="32" w16cid:durableId="48724647">
    <w:abstractNumId w:val="21"/>
  </w:num>
  <w:num w:numId="33" w16cid:durableId="229580414">
    <w:abstractNumId w:val="9"/>
  </w:num>
  <w:num w:numId="34" w16cid:durableId="2120030048">
    <w:abstractNumId w:val="12"/>
  </w:num>
  <w:num w:numId="35" w16cid:durableId="912079505">
    <w:abstractNumId w:val="10"/>
  </w:num>
  <w:num w:numId="36" w16cid:durableId="380980404">
    <w:abstractNumId w:val="19"/>
  </w:num>
  <w:num w:numId="37" w16cid:durableId="1411392731">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A8"/>
    <w:rsid w:val="000019D1"/>
    <w:rsid w:val="00003DD7"/>
    <w:rsid w:val="00004E7E"/>
    <w:rsid w:val="00011A88"/>
    <w:rsid w:val="00013A6E"/>
    <w:rsid w:val="00013C43"/>
    <w:rsid w:val="00013F40"/>
    <w:rsid w:val="000145DE"/>
    <w:rsid w:val="00015217"/>
    <w:rsid w:val="000157D0"/>
    <w:rsid w:val="00015D78"/>
    <w:rsid w:val="00016031"/>
    <w:rsid w:val="000171E3"/>
    <w:rsid w:val="000177C8"/>
    <w:rsid w:val="00020E0D"/>
    <w:rsid w:val="0002203B"/>
    <w:rsid w:val="00024742"/>
    <w:rsid w:val="0002540A"/>
    <w:rsid w:val="00025D1F"/>
    <w:rsid w:val="000268E6"/>
    <w:rsid w:val="00027ACD"/>
    <w:rsid w:val="00027E5F"/>
    <w:rsid w:val="00030097"/>
    <w:rsid w:val="00031890"/>
    <w:rsid w:val="00031F36"/>
    <w:rsid w:val="0003283A"/>
    <w:rsid w:val="00033AB7"/>
    <w:rsid w:val="000343C4"/>
    <w:rsid w:val="00034CA1"/>
    <w:rsid w:val="0003583C"/>
    <w:rsid w:val="00035B1A"/>
    <w:rsid w:val="00040D39"/>
    <w:rsid w:val="000410B2"/>
    <w:rsid w:val="00042859"/>
    <w:rsid w:val="000442BD"/>
    <w:rsid w:val="00044AA2"/>
    <w:rsid w:val="00045CF5"/>
    <w:rsid w:val="0005167B"/>
    <w:rsid w:val="00052356"/>
    <w:rsid w:val="00052D95"/>
    <w:rsid w:val="00052E61"/>
    <w:rsid w:val="00054605"/>
    <w:rsid w:val="00054648"/>
    <w:rsid w:val="00056ED5"/>
    <w:rsid w:val="00056FA4"/>
    <w:rsid w:val="00057100"/>
    <w:rsid w:val="00057FA1"/>
    <w:rsid w:val="000601DE"/>
    <w:rsid w:val="0006029B"/>
    <w:rsid w:val="00061E8B"/>
    <w:rsid w:val="00062709"/>
    <w:rsid w:val="00062F5A"/>
    <w:rsid w:val="00063D4D"/>
    <w:rsid w:val="000643B2"/>
    <w:rsid w:val="000648F2"/>
    <w:rsid w:val="00066933"/>
    <w:rsid w:val="00066B1C"/>
    <w:rsid w:val="000677D6"/>
    <w:rsid w:val="00067F03"/>
    <w:rsid w:val="00072B65"/>
    <w:rsid w:val="00073A2A"/>
    <w:rsid w:val="000741A3"/>
    <w:rsid w:val="00074C6F"/>
    <w:rsid w:val="00075622"/>
    <w:rsid w:val="000757F8"/>
    <w:rsid w:val="0007653F"/>
    <w:rsid w:val="00082742"/>
    <w:rsid w:val="00082C15"/>
    <w:rsid w:val="00082EAB"/>
    <w:rsid w:val="0008386E"/>
    <w:rsid w:val="00083A73"/>
    <w:rsid w:val="00085085"/>
    <w:rsid w:val="00085290"/>
    <w:rsid w:val="00085ECF"/>
    <w:rsid w:val="00087419"/>
    <w:rsid w:val="00087661"/>
    <w:rsid w:val="00087F6A"/>
    <w:rsid w:val="00090EFA"/>
    <w:rsid w:val="0009351A"/>
    <w:rsid w:val="000954CB"/>
    <w:rsid w:val="00095C19"/>
    <w:rsid w:val="00096496"/>
    <w:rsid w:val="000974FA"/>
    <w:rsid w:val="000A0258"/>
    <w:rsid w:val="000A10F4"/>
    <w:rsid w:val="000A111A"/>
    <w:rsid w:val="000A2228"/>
    <w:rsid w:val="000A24C7"/>
    <w:rsid w:val="000A2912"/>
    <w:rsid w:val="000A2AA9"/>
    <w:rsid w:val="000A3CA0"/>
    <w:rsid w:val="000A3D78"/>
    <w:rsid w:val="000A4141"/>
    <w:rsid w:val="000A4DF9"/>
    <w:rsid w:val="000A5AE6"/>
    <w:rsid w:val="000B0E26"/>
    <w:rsid w:val="000B23B7"/>
    <w:rsid w:val="000B2898"/>
    <w:rsid w:val="000B3473"/>
    <w:rsid w:val="000B3763"/>
    <w:rsid w:val="000B3DE0"/>
    <w:rsid w:val="000B44C0"/>
    <w:rsid w:val="000B4E53"/>
    <w:rsid w:val="000B637D"/>
    <w:rsid w:val="000B74D2"/>
    <w:rsid w:val="000C064C"/>
    <w:rsid w:val="000C1B71"/>
    <w:rsid w:val="000C2009"/>
    <w:rsid w:val="000C25D9"/>
    <w:rsid w:val="000C2C82"/>
    <w:rsid w:val="000C3C94"/>
    <w:rsid w:val="000C3CEC"/>
    <w:rsid w:val="000C3D47"/>
    <w:rsid w:val="000C3EC3"/>
    <w:rsid w:val="000C4051"/>
    <w:rsid w:val="000C5020"/>
    <w:rsid w:val="000C5BB9"/>
    <w:rsid w:val="000C6907"/>
    <w:rsid w:val="000C6EF4"/>
    <w:rsid w:val="000C788A"/>
    <w:rsid w:val="000D0C70"/>
    <w:rsid w:val="000D1D30"/>
    <w:rsid w:val="000D2F05"/>
    <w:rsid w:val="000D327B"/>
    <w:rsid w:val="000D3835"/>
    <w:rsid w:val="000D42C5"/>
    <w:rsid w:val="000D4433"/>
    <w:rsid w:val="000D4843"/>
    <w:rsid w:val="000D69AF"/>
    <w:rsid w:val="000D69F8"/>
    <w:rsid w:val="000E1513"/>
    <w:rsid w:val="000E1583"/>
    <w:rsid w:val="000E197F"/>
    <w:rsid w:val="000E1FE8"/>
    <w:rsid w:val="000E2C86"/>
    <w:rsid w:val="000E304F"/>
    <w:rsid w:val="000E3350"/>
    <w:rsid w:val="000E3550"/>
    <w:rsid w:val="000E40C4"/>
    <w:rsid w:val="000E5798"/>
    <w:rsid w:val="000E7654"/>
    <w:rsid w:val="000E76E5"/>
    <w:rsid w:val="000EE7AB"/>
    <w:rsid w:val="000F0152"/>
    <w:rsid w:val="000F1E55"/>
    <w:rsid w:val="000F1EF0"/>
    <w:rsid w:val="000F2B79"/>
    <w:rsid w:val="000F31BD"/>
    <w:rsid w:val="000F3781"/>
    <w:rsid w:val="000F3BBE"/>
    <w:rsid w:val="000F632C"/>
    <w:rsid w:val="000F6C3D"/>
    <w:rsid w:val="000F73F3"/>
    <w:rsid w:val="000F7708"/>
    <w:rsid w:val="000F7985"/>
    <w:rsid w:val="00100014"/>
    <w:rsid w:val="0010084A"/>
    <w:rsid w:val="00100B5E"/>
    <w:rsid w:val="00101D79"/>
    <w:rsid w:val="00101E9B"/>
    <w:rsid w:val="00101F5D"/>
    <w:rsid w:val="00102037"/>
    <w:rsid w:val="00102368"/>
    <w:rsid w:val="00103E77"/>
    <w:rsid w:val="00104251"/>
    <w:rsid w:val="001042F2"/>
    <w:rsid w:val="001046B6"/>
    <w:rsid w:val="001053A0"/>
    <w:rsid w:val="00105515"/>
    <w:rsid w:val="0010573A"/>
    <w:rsid w:val="00105E08"/>
    <w:rsid w:val="00106BF7"/>
    <w:rsid w:val="00111522"/>
    <w:rsid w:val="001126B0"/>
    <w:rsid w:val="00112E14"/>
    <w:rsid w:val="001142CC"/>
    <w:rsid w:val="001144CB"/>
    <w:rsid w:val="0011494F"/>
    <w:rsid w:val="00116E17"/>
    <w:rsid w:val="00117878"/>
    <w:rsid w:val="00120EC9"/>
    <w:rsid w:val="00121690"/>
    <w:rsid w:val="00121C6C"/>
    <w:rsid w:val="001236A9"/>
    <w:rsid w:val="00124BA1"/>
    <w:rsid w:val="00130600"/>
    <w:rsid w:val="00132C56"/>
    <w:rsid w:val="00132C93"/>
    <w:rsid w:val="00132CE0"/>
    <w:rsid w:val="00133075"/>
    <w:rsid w:val="00133D15"/>
    <w:rsid w:val="00133D7F"/>
    <w:rsid w:val="00134653"/>
    <w:rsid w:val="001351F2"/>
    <w:rsid w:val="00135A91"/>
    <w:rsid w:val="00135E08"/>
    <w:rsid w:val="001361B2"/>
    <w:rsid w:val="00137F5B"/>
    <w:rsid w:val="0014122D"/>
    <w:rsid w:val="001419D9"/>
    <w:rsid w:val="00144D15"/>
    <w:rsid w:val="001455C0"/>
    <w:rsid w:val="00146482"/>
    <w:rsid w:val="00146A12"/>
    <w:rsid w:val="00147214"/>
    <w:rsid w:val="001505B9"/>
    <w:rsid w:val="001516E8"/>
    <w:rsid w:val="00153E95"/>
    <w:rsid w:val="001540AB"/>
    <w:rsid w:val="0015608C"/>
    <w:rsid w:val="00160005"/>
    <w:rsid w:val="00160099"/>
    <w:rsid w:val="00160E8E"/>
    <w:rsid w:val="0016116E"/>
    <w:rsid w:val="00161830"/>
    <w:rsid w:val="001630D5"/>
    <w:rsid w:val="00164633"/>
    <w:rsid w:val="001650B3"/>
    <w:rsid w:val="00166191"/>
    <w:rsid w:val="001666A9"/>
    <w:rsid w:val="001667BD"/>
    <w:rsid w:val="001670B8"/>
    <w:rsid w:val="00167113"/>
    <w:rsid w:val="00167F38"/>
    <w:rsid w:val="001701D5"/>
    <w:rsid w:val="001705B0"/>
    <w:rsid w:val="00170825"/>
    <w:rsid w:val="00171AE3"/>
    <w:rsid w:val="00172D60"/>
    <w:rsid w:val="00172DA9"/>
    <w:rsid w:val="001732EB"/>
    <w:rsid w:val="001747E2"/>
    <w:rsid w:val="001758A8"/>
    <w:rsid w:val="00175CC6"/>
    <w:rsid w:val="00175FA8"/>
    <w:rsid w:val="0017614B"/>
    <w:rsid w:val="00176EB9"/>
    <w:rsid w:val="00176F16"/>
    <w:rsid w:val="00180809"/>
    <w:rsid w:val="0018154B"/>
    <w:rsid w:val="00181679"/>
    <w:rsid w:val="0018234E"/>
    <w:rsid w:val="001823B5"/>
    <w:rsid w:val="00183CA2"/>
    <w:rsid w:val="001850FD"/>
    <w:rsid w:val="00191B79"/>
    <w:rsid w:val="00191E43"/>
    <w:rsid w:val="00193C58"/>
    <w:rsid w:val="00194CDE"/>
    <w:rsid w:val="00195058"/>
    <w:rsid w:val="0019544B"/>
    <w:rsid w:val="00195CD5"/>
    <w:rsid w:val="00196306"/>
    <w:rsid w:val="00196FE7"/>
    <w:rsid w:val="001A1A4E"/>
    <w:rsid w:val="001A30FB"/>
    <w:rsid w:val="001A313B"/>
    <w:rsid w:val="001A3A04"/>
    <w:rsid w:val="001A49A8"/>
    <w:rsid w:val="001A4DFC"/>
    <w:rsid w:val="001A511D"/>
    <w:rsid w:val="001A5276"/>
    <w:rsid w:val="001A5E0D"/>
    <w:rsid w:val="001A5EFB"/>
    <w:rsid w:val="001A6CB0"/>
    <w:rsid w:val="001A6E95"/>
    <w:rsid w:val="001A6F42"/>
    <w:rsid w:val="001A70D8"/>
    <w:rsid w:val="001A786C"/>
    <w:rsid w:val="001B0872"/>
    <w:rsid w:val="001B2AE2"/>
    <w:rsid w:val="001B30BD"/>
    <w:rsid w:val="001B4062"/>
    <w:rsid w:val="001B4E85"/>
    <w:rsid w:val="001B5BCB"/>
    <w:rsid w:val="001B5C0D"/>
    <w:rsid w:val="001B5C15"/>
    <w:rsid w:val="001B6A71"/>
    <w:rsid w:val="001B796F"/>
    <w:rsid w:val="001C0AAE"/>
    <w:rsid w:val="001C14EE"/>
    <w:rsid w:val="001C3683"/>
    <w:rsid w:val="001C41DC"/>
    <w:rsid w:val="001C43DD"/>
    <w:rsid w:val="001C5A63"/>
    <w:rsid w:val="001C5EB6"/>
    <w:rsid w:val="001C6629"/>
    <w:rsid w:val="001C70AE"/>
    <w:rsid w:val="001C71B0"/>
    <w:rsid w:val="001C76F6"/>
    <w:rsid w:val="001C77BD"/>
    <w:rsid w:val="001C792A"/>
    <w:rsid w:val="001D0A87"/>
    <w:rsid w:val="001D11EF"/>
    <w:rsid w:val="001D16C5"/>
    <w:rsid w:val="001D17A8"/>
    <w:rsid w:val="001D18A6"/>
    <w:rsid w:val="001D33B4"/>
    <w:rsid w:val="001D5770"/>
    <w:rsid w:val="001D6370"/>
    <w:rsid w:val="001D6B6F"/>
    <w:rsid w:val="001D7143"/>
    <w:rsid w:val="001D75A6"/>
    <w:rsid w:val="001D79FA"/>
    <w:rsid w:val="001E1D4E"/>
    <w:rsid w:val="001E2B22"/>
    <w:rsid w:val="001E383E"/>
    <w:rsid w:val="001E3976"/>
    <w:rsid w:val="001E39F4"/>
    <w:rsid w:val="001E4CDD"/>
    <w:rsid w:val="001E5A71"/>
    <w:rsid w:val="001E6238"/>
    <w:rsid w:val="001E67C8"/>
    <w:rsid w:val="001E70F0"/>
    <w:rsid w:val="001E7388"/>
    <w:rsid w:val="001E74D8"/>
    <w:rsid w:val="001E7505"/>
    <w:rsid w:val="001E7C30"/>
    <w:rsid w:val="001F0602"/>
    <w:rsid w:val="001F09AE"/>
    <w:rsid w:val="001F0C30"/>
    <w:rsid w:val="001F2F64"/>
    <w:rsid w:val="001F31B4"/>
    <w:rsid w:val="001F41F9"/>
    <w:rsid w:val="001F4FBC"/>
    <w:rsid w:val="001F681C"/>
    <w:rsid w:val="001F6BBF"/>
    <w:rsid w:val="00200FCB"/>
    <w:rsid w:val="00201760"/>
    <w:rsid w:val="00201F79"/>
    <w:rsid w:val="00202314"/>
    <w:rsid w:val="0020337B"/>
    <w:rsid w:val="002038EB"/>
    <w:rsid w:val="00203EC9"/>
    <w:rsid w:val="00204A9D"/>
    <w:rsid w:val="0021150B"/>
    <w:rsid w:val="00211DBC"/>
    <w:rsid w:val="00212174"/>
    <w:rsid w:val="00213CFE"/>
    <w:rsid w:val="00213DFC"/>
    <w:rsid w:val="00214F76"/>
    <w:rsid w:val="00215464"/>
    <w:rsid w:val="002155A0"/>
    <w:rsid w:val="00215AE0"/>
    <w:rsid w:val="0021655D"/>
    <w:rsid w:val="0021791E"/>
    <w:rsid w:val="00217D25"/>
    <w:rsid w:val="00221BDE"/>
    <w:rsid w:val="0022255C"/>
    <w:rsid w:val="0022489D"/>
    <w:rsid w:val="00224C10"/>
    <w:rsid w:val="00224D14"/>
    <w:rsid w:val="002272C8"/>
    <w:rsid w:val="00227707"/>
    <w:rsid w:val="00227C95"/>
    <w:rsid w:val="0023019E"/>
    <w:rsid w:val="00230559"/>
    <w:rsid w:val="00230BB1"/>
    <w:rsid w:val="00230D8B"/>
    <w:rsid w:val="00231630"/>
    <w:rsid w:val="002316EF"/>
    <w:rsid w:val="00231CA0"/>
    <w:rsid w:val="00231E47"/>
    <w:rsid w:val="00231EAF"/>
    <w:rsid w:val="00233144"/>
    <w:rsid w:val="002332F8"/>
    <w:rsid w:val="00234130"/>
    <w:rsid w:val="002345DA"/>
    <w:rsid w:val="00234F75"/>
    <w:rsid w:val="0023501F"/>
    <w:rsid w:val="002371AF"/>
    <w:rsid w:val="0024036A"/>
    <w:rsid w:val="002404C7"/>
    <w:rsid w:val="00240F4B"/>
    <w:rsid w:val="00242A33"/>
    <w:rsid w:val="002430AB"/>
    <w:rsid w:val="00245C91"/>
    <w:rsid w:val="0024638C"/>
    <w:rsid w:val="002465F0"/>
    <w:rsid w:val="00250BF5"/>
    <w:rsid w:val="002532EE"/>
    <w:rsid w:val="00253435"/>
    <w:rsid w:val="00255363"/>
    <w:rsid w:val="002568E9"/>
    <w:rsid w:val="002575C5"/>
    <w:rsid w:val="00257AC2"/>
    <w:rsid w:val="00257B72"/>
    <w:rsid w:val="00257F7D"/>
    <w:rsid w:val="002613B0"/>
    <w:rsid w:val="002614DF"/>
    <w:rsid w:val="00261749"/>
    <w:rsid w:val="0026330B"/>
    <w:rsid w:val="00264F29"/>
    <w:rsid w:val="0026553D"/>
    <w:rsid w:val="002659F2"/>
    <w:rsid w:val="0026671F"/>
    <w:rsid w:val="002717EE"/>
    <w:rsid w:val="00271DF8"/>
    <w:rsid w:val="00272245"/>
    <w:rsid w:val="00273C57"/>
    <w:rsid w:val="0027576A"/>
    <w:rsid w:val="00276C29"/>
    <w:rsid w:val="00276F67"/>
    <w:rsid w:val="002775DB"/>
    <w:rsid w:val="00277C4C"/>
    <w:rsid w:val="002807CA"/>
    <w:rsid w:val="00280D88"/>
    <w:rsid w:val="00280F65"/>
    <w:rsid w:val="0028105D"/>
    <w:rsid w:val="00282C08"/>
    <w:rsid w:val="00282E5C"/>
    <w:rsid w:val="00282FE8"/>
    <w:rsid w:val="002831BA"/>
    <w:rsid w:val="002839B5"/>
    <w:rsid w:val="002849D5"/>
    <w:rsid w:val="002855F1"/>
    <w:rsid w:val="00285FBD"/>
    <w:rsid w:val="00286111"/>
    <w:rsid w:val="0028668F"/>
    <w:rsid w:val="00286B33"/>
    <w:rsid w:val="00287A92"/>
    <w:rsid w:val="00291037"/>
    <w:rsid w:val="00291CD2"/>
    <w:rsid w:val="002932B3"/>
    <w:rsid w:val="00293EA3"/>
    <w:rsid w:val="0029557A"/>
    <w:rsid w:val="00296572"/>
    <w:rsid w:val="0029658A"/>
    <w:rsid w:val="00296AA7"/>
    <w:rsid w:val="00296C60"/>
    <w:rsid w:val="002A0175"/>
    <w:rsid w:val="002A0A98"/>
    <w:rsid w:val="002A0F7E"/>
    <w:rsid w:val="002A2027"/>
    <w:rsid w:val="002A2251"/>
    <w:rsid w:val="002A28F7"/>
    <w:rsid w:val="002A3153"/>
    <w:rsid w:val="002A6CD1"/>
    <w:rsid w:val="002B2126"/>
    <w:rsid w:val="002B3B91"/>
    <w:rsid w:val="002B560F"/>
    <w:rsid w:val="002B79B4"/>
    <w:rsid w:val="002C13D7"/>
    <w:rsid w:val="002C1F56"/>
    <w:rsid w:val="002C21A2"/>
    <w:rsid w:val="002C38AB"/>
    <w:rsid w:val="002C3AA4"/>
    <w:rsid w:val="002C75D8"/>
    <w:rsid w:val="002D1705"/>
    <w:rsid w:val="002D2163"/>
    <w:rsid w:val="002D2AEA"/>
    <w:rsid w:val="002D3515"/>
    <w:rsid w:val="002D3B0D"/>
    <w:rsid w:val="002D3F75"/>
    <w:rsid w:val="002D6542"/>
    <w:rsid w:val="002D7EBB"/>
    <w:rsid w:val="002E02CB"/>
    <w:rsid w:val="002E071D"/>
    <w:rsid w:val="002E315C"/>
    <w:rsid w:val="002E463F"/>
    <w:rsid w:val="002E46B8"/>
    <w:rsid w:val="002E46E1"/>
    <w:rsid w:val="002E4C73"/>
    <w:rsid w:val="002E4E9A"/>
    <w:rsid w:val="002E503D"/>
    <w:rsid w:val="002E508B"/>
    <w:rsid w:val="002E512F"/>
    <w:rsid w:val="002E5B08"/>
    <w:rsid w:val="002E5C27"/>
    <w:rsid w:val="002E5F9F"/>
    <w:rsid w:val="002E6017"/>
    <w:rsid w:val="002E6FDB"/>
    <w:rsid w:val="002E7849"/>
    <w:rsid w:val="002F088E"/>
    <w:rsid w:val="002F0C9F"/>
    <w:rsid w:val="002F14B3"/>
    <w:rsid w:val="002F2F06"/>
    <w:rsid w:val="002F31AE"/>
    <w:rsid w:val="002F427F"/>
    <w:rsid w:val="002F4702"/>
    <w:rsid w:val="002F5364"/>
    <w:rsid w:val="002F56F3"/>
    <w:rsid w:val="002F7128"/>
    <w:rsid w:val="0030070C"/>
    <w:rsid w:val="00300CF3"/>
    <w:rsid w:val="00300F99"/>
    <w:rsid w:val="00302BEE"/>
    <w:rsid w:val="00303449"/>
    <w:rsid w:val="00303F45"/>
    <w:rsid w:val="0030745F"/>
    <w:rsid w:val="003074D8"/>
    <w:rsid w:val="00307A30"/>
    <w:rsid w:val="0031225D"/>
    <w:rsid w:val="003170E2"/>
    <w:rsid w:val="00321229"/>
    <w:rsid w:val="003222D5"/>
    <w:rsid w:val="0032261A"/>
    <w:rsid w:val="0032275F"/>
    <w:rsid w:val="00326F8D"/>
    <w:rsid w:val="003302D6"/>
    <w:rsid w:val="0033152F"/>
    <w:rsid w:val="0033154E"/>
    <w:rsid w:val="00331871"/>
    <w:rsid w:val="00332137"/>
    <w:rsid w:val="00334FE5"/>
    <w:rsid w:val="00336F53"/>
    <w:rsid w:val="00337A55"/>
    <w:rsid w:val="003404F4"/>
    <w:rsid w:val="003407B2"/>
    <w:rsid w:val="00340E3E"/>
    <w:rsid w:val="00341EE0"/>
    <w:rsid w:val="00342286"/>
    <w:rsid w:val="00342387"/>
    <w:rsid w:val="00342FF5"/>
    <w:rsid w:val="003433DC"/>
    <w:rsid w:val="00344181"/>
    <w:rsid w:val="00346469"/>
    <w:rsid w:val="00346A49"/>
    <w:rsid w:val="003502AC"/>
    <w:rsid w:val="003514AC"/>
    <w:rsid w:val="00351D77"/>
    <w:rsid w:val="00351E5F"/>
    <w:rsid w:val="0035446A"/>
    <w:rsid w:val="003557F6"/>
    <w:rsid w:val="003560BC"/>
    <w:rsid w:val="00356239"/>
    <w:rsid w:val="0035784E"/>
    <w:rsid w:val="00357A31"/>
    <w:rsid w:val="00360315"/>
    <w:rsid w:val="00361752"/>
    <w:rsid w:val="0036293D"/>
    <w:rsid w:val="003646C2"/>
    <w:rsid w:val="00364952"/>
    <w:rsid w:val="00364ED7"/>
    <w:rsid w:val="0036638C"/>
    <w:rsid w:val="00366CE2"/>
    <w:rsid w:val="0036787F"/>
    <w:rsid w:val="00367DFF"/>
    <w:rsid w:val="00372553"/>
    <w:rsid w:val="003726F3"/>
    <w:rsid w:val="00372968"/>
    <w:rsid w:val="00373675"/>
    <w:rsid w:val="00374981"/>
    <w:rsid w:val="00375C76"/>
    <w:rsid w:val="003765E7"/>
    <w:rsid w:val="00376ADB"/>
    <w:rsid w:val="003773B0"/>
    <w:rsid w:val="00380496"/>
    <w:rsid w:val="003810D8"/>
    <w:rsid w:val="003812C5"/>
    <w:rsid w:val="003818B8"/>
    <w:rsid w:val="00383D9C"/>
    <w:rsid w:val="0038467A"/>
    <w:rsid w:val="00385187"/>
    <w:rsid w:val="003853A4"/>
    <w:rsid w:val="003859F5"/>
    <w:rsid w:val="003867EF"/>
    <w:rsid w:val="00390959"/>
    <w:rsid w:val="0039298B"/>
    <w:rsid w:val="00392D12"/>
    <w:rsid w:val="00395089"/>
    <w:rsid w:val="0039569D"/>
    <w:rsid w:val="00396A2A"/>
    <w:rsid w:val="003A00A2"/>
    <w:rsid w:val="003A04D6"/>
    <w:rsid w:val="003A1CC2"/>
    <w:rsid w:val="003A1DB6"/>
    <w:rsid w:val="003A3DA1"/>
    <w:rsid w:val="003A4786"/>
    <w:rsid w:val="003A4E6F"/>
    <w:rsid w:val="003A54F9"/>
    <w:rsid w:val="003A5684"/>
    <w:rsid w:val="003A647E"/>
    <w:rsid w:val="003A7B11"/>
    <w:rsid w:val="003B08A7"/>
    <w:rsid w:val="003B09D4"/>
    <w:rsid w:val="003B195D"/>
    <w:rsid w:val="003B30D9"/>
    <w:rsid w:val="003B3440"/>
    <w:rsid w:val="003B3F5C"/>
    <w:rsid w:val="003B45DE"/>
    <w:rsid w:val="003B5E59"/>
    <w:rsid w:val="003B66F5"/>
    <w:rsid w:val="003C09FC"/>
    <w:rsid w:val="003C1EBE"/>
    <w:rsid w:val="003C2095"/>
    <w:rsid w:val="003C60B5"/>
    <w:rsid w:val="003C632C"/>
    <w:rsid w:val="003C6757"/>
    <w:rsid w:val="003C72DE"/>
    <w:rsid w:val="003D0304"/>
    <w:rsid w:val="003D0B49"/>
    <w:rsid w:val="003D1EFE"/>
    <w:rsid w:val="003D2193"/>
    <w:rsid w:val="003D4958"/>
    <w:rsid w:val="003D52D8"/>
    <w:rsid w:val="003D56A4"/>
    <w:rsid w:val="003E0AED"/>
    <w:rsid w:val="003E1329"/>
    <w:rsid w:val="003E1AF6"/>
    <w:rsid w:val="003E20F2"/>
    <w:rsid w:val="003E266B"/>
    <w:rsid w:val="003E2AD1"/>
    <w:rsid w:val="003E653C"/>
    <w:rsid w:val="003F0D78"/>
    <w:rsid w:val="003F2163"/>
    <w:rsid w:val="003F22FC"/>
    <w:rsid w:val="003F259A"/>
    <w:rsid w:val="003F2C6D"/>
    <w:rsid w:val="003F3245"/>
    <w:rsid w:val="003F4C0D"/>
    <w:rsid w:val="003F5687"/>
    <w:rsid w:val="003F6392"/>
    <w:rsid w:val="003F660E"/>
    <w:rsid w:val="00400726"/>
    <w:rsid w:val="00401CCA"/>
    <w:rsid w:val="0040208E"/>
    <w:rsid w:val="00402446"/>
    <w:rsid w:val="004033F5"/>
    <w:rsid w:val="004034A9"/>
    <w:rsid w:val="00404C80"/>
    <w:rsid w:val="00407613"/>
    <w:rsid w:val="004076E7"/>
    <w:rsid w:val="00413608"/>
    <w:rsid w:val="00413AEA"/>
    <w:rsid w:val="0041515D"/>
    <w:rsid w:val="00415E30"/>
    <w:rsid w:val="004163A8"/>
    <w:rsid w:val="00416AA0"/>
    <w:rsid w:val="00416F4C"/>
    <w:rsid w:val="004171FE"/>
    <w:rsid w:val="00420162"/>
    <w:rsid w:val="00420ADC"/>
    <w:rsid w:val="00420C26"/>
    <w:rsid w:val="004215C2"/>
    <w:rsid w:val="00422277"/>
    <w:rsid w:val="00423F79"/>
    <w:rsid w:val="00423F96"/>
    <w:rsid w:val="004242C5"/>
    <w:rsid w:val="0042572B"/>
    <w:rsid w:val="0042630D"/>
    <w:rsid w:val="0042727E"/>
    <w:rsid w:val="0043014B"/>
    <w:rsid w:val="00430B03"/>
    <w:rsid w:val="00430D61"/>
    <w:rsid w:val="00430FA3"/>
    <w:rsid w:val="004319F7"/>
    <w:rsid w:val="00432F73"/>
    <w:rsid w:val="004339FB"/>
    <w:rsid w:val="00434D84"/>
    <w:rsid w:val="00434EB1"/>
    <w:rsid w:val="00435F13"/>
    <w:rsid w:val="00436126"/>
    <w:rsid w:val="00440BD1"/>
    <w:rsid w:val="00440EF1"/>
    <w:rsid w:val="0044389E"/>
    <w:rsid w:val="004509BE"/>
    <w:rsid w:val="00450D0C"/>
    <w:rsid w:val="00451C19"/>
    <w:rsid w:val="00451C6E"/>
    <w:rsid w:val="004526F9"/>
    <w:rsid w:val="004527AB"/>
    <w:rsid w:val="004529A0"/>
    <w:rsid w:val="004538C5"/>
    <w:rsid w:val="00453C51"/>
    <w:rsid w:val="0045434E"/>
    <w:rsid w:val="00454ECF"/>
    <w:rsid w:val="004555E9"/>
    <w:rsid w:val="004566D7"/>
    <w:rsid w:val="00456727"/>
    <w:rsid w:val="00456E6B"/>
    <w:rsid w:val="0045751E"/>
    <w:rsid w:val="004575E2"/>
    <w:rsid w:val="00457612"/>
    <w:rsid w:val="00463594"/>
    <w:rsid w:val="0046373B"/>
    <w:rsid w:val="00463C52"/>
    <w:rsid w:val="00464318"/>
    <w:rsid w:val="00466AFE"/>
    <w:rsid w:val="004672E9"/>
    <w:rsid w:val="0047019D"/>
    <w:rsid w:val="00470223"/>
    <w:rsid w:val="00470C89"/>
    <w:rsid w:val="00470D3D"/>
    <w:rsid w:val="00471F14"/>
    <w:rsid w:val="00472565"/>
    <w:rsid w:val="00472625"/>
    <w:rsid w:val="00472789"/>
    <w:rsid w:val="004736E6"/>
    <w:rsid w:val="00474EDF"/>
    <w:rsid w:val="004752BA"/>
    <w:rsid w:val="00477352"/>
    <w:rsid w:val="00480315"/>
    <w:rsid w:val="0048192F"/>
    <w:rsid w:val="00481A02"/>
    <w:rsid w:val="0048379C"/>
    <w:rsid w:val="00484805"/>
    <w:rsid w:val="00484BE1"/>
    <w:rsid w:val="00484ED1"/>
    <w:rsid w:val="004866AD"/>
    <w:rsid w:val="00486F07"/>
    <w:rsid w:val="00487A94"/>
    <w:rsid w:val="004911E0"/>
    <w:rsid w:val="0049187F"/>
    <w:rsid w:val="00491CE7"/>
    <w:rsid w:val="004920BD"/>
    <w:rsid w:val="00493259"/>
    <w:rsid w:val="00493DB2"/>
    <w:rsid w:val="00495097"/>
    <w:rsid w:val="004961EC"/>
    <w:rsid w:val="00496733"/>
    <w:rsid w:val="00496957"/>
    <w:rsid w:val="00497797"/>
    <w:rsid w:val="004A1B3E"/>
    <w:rsid w:val="004A3165"/>
    <w:rsid w:val="004A3CAC"/>
    <w:rsid w:val="004A4220"/>
    <w:rsid w:val="004A487F"/>
    <w:rsid w:val="004A67F9"/>
    <w:rsid w:val="004A791B"/>
    <w:rsid w:val="004A7E9D"/>
    <w:rsid w:val="004B0483"/>
    <w:rsid w:val="004B19C7"/>
    <w:rsid w:val="004B30D2"/>
    <w:rsid w:val="004B41E5"/>
    <w:rsid w:val="004B47C5"/>
    <w:rsid w:val="004B5B0C"/>
    <w:rsid w:val="004B5E2C"/>
    <w:rsid w:val="004B663B"/>
    <w:rsid w:val="004C0ECB"/>
    <w:rsid w:val="004C2953"/>
    <w:rsid w:val="004C4C3E"/>
    <w:rsid w:val="004C5587"/>
    <w:rsid w:val="004C566F"/>
    <w:rsid w:val="004C7918"/>
    <w:rsid w:val="004C7BDA"/>
    <w:rsid w:val="004D105B"/>
    <w:rsid w:val="004D13A3"/>
    <w:rsid w:val="004D3233"/>
    <w:rsid w:val="004D3A62"/>
    <w:rsid w:val="004D6D06"/>
    <w:rsid w:val="004E0832"/>
    <w:rsid w:val="004E1466"/>
    <w:rsid w:val="004E2CB6"/>
    <w:rsid w:val="004E376A"/>
    <w:rsid w:val="004E5EEE"/>
    <w:rsid w:val="004E6084"/>
    <w:rsid w:val="004E696F"/>
    <w:rsid w:val="004E6CD9"/>
    <w:rsid w:val="004F08FB"/>
    <w:rsid w:val="004F20E3"/>
    <w:rsid w:val="004F211A"/>
    <w:rsid w:val="004F2F9F"/>
    <w:rsid w:val="004F3159"/>
    <w:rsid w:val="004F3349"/>
    <w:rsid w:val="004F4AEF"/>
    <w:rsid w:val="004F51BB"/>
    <w:rsid w:val="004F674D"/>
    <w:rsid w:val="005029DC"/>
    <w:rsid w:val="0050337E"/>
    <w:rsid w:val="0050390E"/>
    <w:rsid w:val="0050403C"/>
    <w:rsid w:val="0050464D"/>
    <w:rsid w:val="00505263"/>
    <w:rsid w:val="0050598E"/>
    <w:rsid w:val="0050614A"/>
    <w:rsid w:val="0050683F"/>
    <w:rsid w:val="005108E3"/>
    <w:rsid w:val="00511CF0"/>
    <w:rsid w:val="0051222D"/>
    <w:rsid w:val="00512AA5"/>
    <w:rsid w:val="0051431D"/>
    <w:rsid w:val="00514F7F"/>
    <w:rsid w:val="0051587B"/>
    <w:rsid w:val="00516596"/>
    <w:rsid w:val="00520973"/>
    <w:rsid w:val="005209C3"/>
    <w:rsid w:val="00520C50"/>
    <w:rsid w:val="00522146"/>
    <w:rsid w:val="00522A31"/>
    <w:rsid w:val="00522FC5"/>
    <w:rsid w:val="005237E6"/>
    <w:rsid w:val="00524017"/>
    <w:rsid w:val="00524BDE"/>
    <w:rsid w:val="0052775F"/>
    <w:rsid w:val="005330C5"/>
    <w:rsid w:val="0053466F"/>
    <w:rsid w:val="00534991"/>
    <w:rsid w:val="00534E9B"/>
    <w:rsid w:val="0053518F"/>
    <w:rsid w:val="005365B0"/>
    <w:rsid w:val="00536659"/>
    <w:rsid w:val="00536E0B"/>
    <w:rsid w:val="00540832"/>
    <w:rsid w:val="00541448"/>
    <w:rsid w:val="0054202F"/>
    <w:rsid w:val="00542D57"/>
    <w:rsid w:val="00543DA8"/>
    <w:rsid w:val="00544144"/>
    <w:rsid w:val="0054561A"/>
    <w:rsid w:val="00550044"/>
    <w:rsid w:val="005504B8"/>
    <w:rsid w:val="005510BF"/>
    <w:rsid w:val="00551BFA"/>
    <w:rsid w:val="00551D55"/>
    <w:rsid w:val="00552F1F"/>
    <w:rsid w:val="005535E5"/>
    <w:rsid w:val="00553A89"/>
    <w:rsid w:val="00553E7A"/>
    <w:rsid w:val="00553ED0"/>
    <w:rsid w:val="005548F0"/>
    <w:rsid w:val="00555C5D"/>
    <w:rsid w:val="005569F7"/>
    <w:rsid w:val="0055703C"/>
    <w:rsid w:val="005574D4"/>
    <w:rsid w:val="00557575"/>
    <w:rsid w:val="00560081"/>
    <w:rsid w:val="00560144"/>
    <w:rsid w:val="00560451"/>
    <w:rsid w:val="00561AB7"/>
    <w:rsid w:val="00564694"/>
    <w:rsid w:val="00565188"/>
    <w:rsid w:val="0056535E"/>
    <w:rsid w:val="005657F1"/>
    <w:rsid w:val="00566D5D"/>
    <w:rsid w:val="0057026F"/>
    <w:rsid w:val="005711E9"/>
    <w:rsid w:val="005722B2"/>
    <w:rsid w:val="0057250B"/>
    <w:rsid w:val="00573045"/>
    <w:rsid w:val="00574294"/>
    <w:rsid w:val="005746F8"/>
    <w:rsid w:val="00574941"/>
    <w:rsid w:val="005749C5"/>
    <w:rsid w:val="00574F01"/>
    <w:rsid w:val="0057670A"/>
    <w:rsid w:val="005768DC"/>
    <w:rsid w:val="00576A64"/>
    <w:rsid w:val="00577224"/>
    <w:rsid w:val="005773B0"/>
    <w:rsid w:val="00577AF5"/>
    <w:rsid w:val="00581372"/>
    <w:rsid w:val="00581CF3"/>
    <w:rsid w:val="00581D79"/>
    <w:rsid w:val="00582C76"/>
    <w:rsid w:val="005832E9"/>
    <w:rsid w:val="005861DD"/>
    <w:rsid w:val="005870B2"/>
    <w:rsid w:val="005879F4"/>
    <w:rsid w:val="005905B1"/>
    <w:rsid w:val="00590FDF"/>
    <w:rsid w:val="00591137"/>
    <w:rsid w:val="005914F1"/>
    <w:rsid w:val="00592952"/>
    <w:rsid w:val="00593C79"/>
    <w:rsid w:val="005955C3"/>
    <w:rsid w:val="005A07FF"/>
    <w:rsid w:val="005A0CFF"/>
    <w:rsid w:val="005A2B9D"/>
    <w:rsid w:val="005A2FC1"/>
    <w:rsid w:val="005A4193"/>
    <w:rsid w:val="005A50E4"/>
    <w:rsid w:val="005A5547"/>
    <w:rsid w:val="005A6295"/>
    <w:rsid w:val="005A7E2C"/>
    <w:rsid w:val="005B1807"/>
    <w:rsid w:val="005B48DF"/>
    <w:rsid w:val="005B50AD"/>
    <w:rsid w:val="005B585F"/>
    <w:rsid w:val="005B741E"/>
    <w:rsid w:val="005B78C9"/>
    <w:rsid w:val="005C06CE"/>
    <w:rsid w:val="005C0B41"/>
    <w:rsid w:val="005C1185"/>
    <w:rsid w:val="005C1770"/>
    <w:rsid w:val="005C1CCC"/>
    <w:rsid w:val="005C207F"/>
    <w:rsid w:val="005C33A2"/>
    <w:rsid w:val="005C4E19"/>
    <w:rsid w:val="005C6228"/>
    <w:rsid w:val="005C657D"/>
    <w:rsid w:val="005C7F8B"/>
    <w:rsid w:val="005D26D0"/>
    <w:rsid w:val="005D351B"/>
    <w:rsid w:val="005D35ED"/>
    <w:rsid w:val="005D381F"/>
    <w:rsid w:val="005D4C54"/>
    <w:rsid w:val="005D52B2"/>
    <w:rsid w:val="005D7271"/>
    <w:rsid w:val="005E2BFF"/>
    <w:rsid w:val="005E50D0"/>
    <w:rsid w:val="005E6027"/>
    <w:rsid w:val="005E6EAD"/>
    <w:rsid w:val="005E7CDF"/>
    <w:rsid w:val="005F107C"/>
    <w:rsid w:val="005F121F"/>
    <w:rsid w:val="005F1B31"/>
    <w:rsid w:val="005F278C"/>
    <w:rsid w:val="005F5F97"/>
    <w:rsid w:val="005F66AB"/>
    <w:rsid w:val="005F75AD"/>
    <w:rsid w:val="005F7884"/>
    <w:rsid w:val="005F7CF0"/>
    <w:rsid w:val="00602F5A"/>
    <w:rsid w:val="006048C4"/>
    <w:rsid w:val="00605367"/>
    <w:rsid w:val="00606B7C"/>
    <w:rsid w:val="0060702F"/>
    <w:rsid w:val="0060750A"/>
    <w:rsid w:val="00607C9F"/>
    <w:rsid w:val="006107DD"/>
    <w:rsid w:val="006108B3"/>
    <w:rsid w:val="006118F1"/>
    <w:rsid w:val="006137B5"/>
    <w:rsid w:val="00614C20"/>
    <w:rsid w:val="00615108"/>
    <w:rsid w:val="00615A43"/>
    <w:rsid w:val="00615D30"/>
    <w:rsid w:val="00617175"/>
    <w:rsid w:val="00620765"/>
    <w:rsid w:val="006210F7"/>
    <w:rsid w:val="006221CD"/>
    <w:rsid w:val="00622B8E"/>
    <w:rsid w:val="00622DD4"/>
    <w:rsid w:val="0062372E"/>
    <w:rsid w:val="006237FB"/>
    <w:rsid w:val="00624B72"/>
    <w:rsid w:val="00624FD4"/>
    <w:rsid w:val="006255E0"/>
    <w:rsid w:val="00625E9B"/>
    <w:rsid w:val="00625E9D"/>
    <w:rsid w:val="006268A5"/>
    <w:rsid w:val="00627254"/>
    <w:rsid w:val="0063117D"/>
    <w:rsid w:val="00631246"/>
    <w:rsid w:val="0063143D"/>
    <w:rsid w:val="00631FB1"/>
    <w:rsid w:val="006344C5"/>
    <w:rsid w:val="00634B5C"/>
    <w:rsid w:val="00634EAB"/>
    <w:rsid w:val="00635D57"/>
    <w:rsid w:val="006363DF"/>
    <w:rsid w:val="00636FB3"/>
    <w:rsid w:val="00637EFC"/>
    <w:rsid w:val="006418B2"/>
    <w:rsid w:val="00642404"/>
    <w:rsid w:val="00642BE6"/>
    <w:rsid w:val="00643D85"/>
    <w:rsid w:val="00643DAC"/>
    <w:rsid w:val="006445C1"/>
    <w:rsid w:val="006451B7"/>
    <w:rsid w:val="00647EFA"/>
    <w:rsid w:val="00650227"/>
    <w:rsid w:val="0065037B"/>
    <w:rsid w:val="00652956"/>
    <w:rsid w:val="00652973"/>
    <w:rsid w:val="00653837"/>
    <w:rsid w:val="00653A55"/>
    <w:rsid w:val="00653D77"/>
    <w:rsid w:val="0065412A"/>
    <w:rsid w:val="0065445E"/>
    <w:rsid w:val="006558CA"/>
    <w:rsid w:val="00655E47"/>
    <w:rsid w:val="0065750C"/>
    <w:rsid w:val="00657841"/>
    <w:rsid w:val="006606F5"/>
    <w:rsid w:val="0066070C"/>
    <w:rsid w:val="00661273"/>
    <w:rsid w:val="00661384"/>
    <w:rsid w:val="00661563"/>
    <w:rsid w:val="006659A0"/>
    <w:rsid w:val="00666623"/>
    <w:rsid w:val="00666CB0"/>
    <w:rsid w:val="0067185E"/>
    <w:rsid w:val="00671C5B"/>
    <w:rsid w:val="00671D5B"/>
    <w:rsid w:val="00673710"/>
    <w:rsid w:val="00674E31"/>
    <w:rsid w:val="006759C4"/>
    <w:rsid w:val="00675B03"/>
    <w:rsid w:val="00675DB3"/>
    <w:rsid w:val="006775FA"/>
    <w:rsid w:val="00677B1E"/>
    <w:rsid w:val="00680BED"/>
    <w:rsid w:val="006810A6"/>
    <w:rsid w:val="00683B8D"/>
    <w:rsid w:val="00684089"/>
    <w:rsid w:val="00684689"/>
    <w:rsid w:val="0068544D"/>
    <w:rsid w:val="00690DD3"/>
    <w:rsid w:val="006914C1"/>
    <w:rsid w:val="00691833"/>
    <w:rsid w:val="00693832"/>
    <w:rsid w:val="00693EE1"/>
    <w:rsid w:val="00695C3C"/>
    <w:rsid w:val="00695D08"/>
    <w:rsid w:val="00697386"/>
    <w:rsid w:val="006A24F4"/>
    <w:rsid w:val="006A2706"/>
    <w:rsid w:val="006A27AA"/>
    <w:rsid w:val="006A2FCF"/>
    <w:rsid w:val="006A3122"/>
    <w:rsid w:val="006A3602"/>
    <w:rsid w:val="006A3FD5"/>
    <w:rsid w:val="006A6FD7"/>
    <w:rsid w:val="006B1D7A"/>
    <w:rsid w:val="006B1F9F"/>
    <w:rsid w:val="006B27A5"/>
    <w:rsid w:val="006B4091"/>
    <w:rsid w:val="006B5993"/>
    <w:rsid w:val="006B7729"/>
    <w:rsid w:val="006C0754"/>
    <w:rsid w:val="006C2634"/>
    <w:rsid w:val="006C2A12"/>
    <w:rsid w:val="006C2EBC"/>
    <w:rsid w:val="006C3441"/>
    <w:rsid w:val="006C37B5"/>
    <w:rsid w:val="006C382D"/>
    <w:rsid w:val="006C4590"/>
    <w:rsid w:val="006C55AF"/>
    <w:rsid w:val="006C64EC"/>
    <w:rsid w:val="006C786F"/>
    <w:rsid w:val="006D1162"/>
    <w:rsid w:val="006D1911"/>
    <w:rsid w:val="006D27C7"/>
    <w:rsid w:val="006D2ADA"/>
    <w:rsid w:val="006D3248"/>
    <w:rsid w:val="006D42B2"/>
    <w:rsid w:val="006D5277"/>
    <w:rsid w:val="006D5B66"/>
    <w:rsid w:val="006D647D"/>
    <w:rsid w:val="006D66B2"/>
    <w:rsid w:val="006D6DC1"/>
    <w:rsid w:val="006D70AC"/>
    <w:rsid w:val="006D7532"/>
    <w:rsid w:val="006E1551"/>
    <w:rsid w:val="006E1667"/>
    <w:rsid w:val="006E18B9"/>
    <w:rsid w:val="006E3597"/>
    <w:rsid w:val="006E3711"/>
    <w:rsid w:val="006E397E"/>
    <w:rsid w:val="006E3C69"/>
    <w:rsid w:val="006E5779"/>
    <w:rsid w:val="006E61D2"/>
    <w:rsid w:val="006E68F5"/>
    <w:rsid w:val="006E7069"/>
    <w:rsid w:val="006E7F39"/>
    <w:rsid w:val="006F1F96"/>
    <w:rsid w:val="006F2837"/>
    <w:rsid w:val="006F2D8A"/>
    <w:rsid w:val="006F5B9D"/>
    <w:rsid w:val="006F6FD2"/>
    <w:rsid w:val="006F7863"/>
    <w:rsid w:val="00700B01"/>
    <w:rsid w:val="00701E98"/>
    <w:rsid w:val="00702EBF"/>
    <w:rsid w:val="0070552E"/>
    <w:rsid w:val="007062B9"/>
    <w:rsid w:val="007073F4"/>
    <w:rsid w:val="00707E3F"/>
    <w:rsid w:val="00711B5B"/>
    <w:rsid w:val="00712A6C"/>
    <w:rsid w:val="00713147"/>
    <w:rsid w:val="00713414"/>
    <w:rsid w:val="00713F12"/>
    <w:rsid w:val="00714563"/>
    <w:rsid w:val="007147B5"/>
    <w:rsid w:val="007155C2"/>
    <w:rsid w:val="007157E3"/>
    <w:rsid w:val="007159E4"/>
    <w:rsid w:val="00716502"/>
    <w:rsid w:val="00716AE4"/>
    <w:rsid w:val="00720C98"/>
    <w:rsid w:val="007213B6"/>
    <w:rsid w:val="007225A5"/>
    <w:rsid w:val="00723AC2"/>
    <w:rsid w:val="00724230"/>
    <w:rsid w:val="00725605"/>
    <w:rsid w:val="00725EA2"/>
    <w:rsid w:val="00726B5C"/>
    <w:rsid w:val="00730350"/>
    <w:rsid w:val="00730C46"/>
    <w:rsid w:val="007334C7"/>
    <w:rsid w:val="00733626"/>
    <w:rsid w:val="00733F78"/>
    <w:rsid w:val="00734AC8"/>
    <w:rsid w:val="0073516C"/>
    <w:rsid w:val="007351C7"/>
    <w:rsid w:val="007352AC"/>
    <w:rsid w:val="007403F5"/>
    <w:rsid w:val="00741F2A"/>
    <w:rsid w:val="00742263"/>
    <w:rsid w:val="007426B3"/>
    <w:rsid w:val="00743353"/>
    <w:rsid w:val="0074340F"/>
    <w:rsid w:val="007438AC"/>
    <w:rsid w:val="00743B41"/>
    <w:rsid w:val="00744423"/>
    <w:rsid w:val="00744EBB"/>
    <w:rsid w:val="00746592"/>
    <w:rsid w:val="00747CC0"/>
    <w:rsid w:val="0075040E"/>
    <w:rsid w:val="0075096B"/>
    <w:rsid w:val="00751648"/>
    <w:rsid w:val="007522D0"/>
    <w:rsid w:val="00753BDE"/>
    <w:rsid w:val="00754EDB"/>
    <w:rsid w:val="00755657"/>
    <w:rsid w:val="00755882"/>
    <w:rsid w:val="007566AE"/>
    <w:rsid w:val="00756B16"/>
    <w:rsid w:val="00761281"/>
    <w:rsid w:val="00761F62"/>
    <w:rsid w:val="00761FAC"/>
    <w:rsid w:val="0076231A"/>
    <w:rsid w:val="0076425D"/>
    <w:rsid w:val="00764D03"/>
    <w:rsid w:val="00765BAA"/>
    <w:rsid w:val="007674F5"/>
    <w:rsid w:val="00767588"/>
    <w:rsid w:val="007717C1"/>
    <w:rsid w:val="0077296F"/>
    <w:rsid w:val="00772DCE"/>
    <w:rsid w:val="00774213"/>
    <w:rsid w:val="00774B39"/>
    <w:rsid w:val="00774D66"/>
    <w:rsid w:val="00774F55"/>
    <w:rsid w:val="00775A61"/>
    <w:rsid w:val="00775D8A"/>
    <w:rsid w:val="00775F60"/>
    <w:rsid w:val="0077659E"/>
    <w:rsid w:val="00776CCC"/>
    <w:rsid w:val="007773AD"/>
    <w:rsid w:val="00777AD4"/>
    <w:rsid w:val="00780950"/>
    <w:rsid w:val="007809EF"/>
    <w:rsid w:val="00780EEB"/>
    <w:rsid w:val="00781E8A"/>
    <w:rsid w:val="0078265F"/>
    <w:rsid w:val="0078278B"/>
    <w:rsid w:val="00783207"/>
    <w:rsid w:val="007839B8"/>
    <w:rsid w:val="00783D2C"/>
    <w:rsid w:val="0078436E"/>
    <w:rsid w:val="00784900"/>
    <w:rsid w:val="00784FF5"/>
    <w:rsid w:val="0078614E"/>
    <w:rsid w:val="007864F7"/>
    <w:rsid w:val="00786CF8"/>
    <w:rsid w:val="007916C2"/>
    <w:rsid w:val="00791E3E"/>
    <w:rsid w:val="0079238E"/>
    <w:rsid w:val="00794564"/>
    <w:rsid w:val="00794969"/>
    <w:rsid w:val="00794F29"/>
    <w:rsid w:val="0079683F"/>
    <w:rsid w:val="00796B6B"/>
    <w:rsid w:val="00797438"/>
    <w:rsid w:val="0079749D"/>
    <w:rsid w:val="00797F5C"/>
    <w:rsid w:val="007A0D19"/>
    <w:rsid w:val="007A0E90"/>
    <w:rsid w:val="007A2250"/>
    <w:rsid w:val="007A2CD9"/>
    <w:rsid w:val="007A3710"/>
    <w:rsid w:val="007A4DB2"/>
    <w:rsid w:val="007A5759"/>
    <w:rsid w:val="007A5FCF"/>
    <w:rsid w:val="007A5FF5"/>
    <w:rsid w:val="007A63F6"/>
    <w:rsid w:val="007A782D"/>
    <w:rsid w:val="007B0DE6"/>
    <w:rsid w:val="007B2E34"/>
    <w:rsid w:val="007B56D7"/>
    <w:rsid w:val="007B6533"/>
    <w:rsid w:val="007B6D89"/>
    <w:rsid w:val="007C17A3"/>
    <w:rsid w:val="007C1E71"/>
    <w:rsid w:val="007C2B06"/>
    <w:rsid w:val="007C318F"/>
    <w:rsid w:val="007C35AC"/>
    <w:rsid w:val="007C3971"/>
    <w:rsid w:val="007C41A5"/>
    <w:rsid w:val="007C470F"/>
    <w:rsid w:val="007C5A35"/>
    <w:rsid w:val="007C62FB"/>
    <w:rsid w:val="007C787C"/>
    <w:rsid w:val="007C7B9E"/>
    <w:rsid w:val="007D080B"/>
    <w:rsid w:val="007D1864"/>
    <w:rsid w:val="007D266F"/>
    <w:rsid w:val="007D3194"/>
    <w:rsid w:val="007D3408"/>
    <w:rsid w:val="007D51DF"/>
    <w:rsid w:val="007E1BCC"/>
    <w:rsid w:val="007E33EA"/>
    <w:rsid w:val="007E589E"/>
    <w:rsid w:val="007E6CDA"/>
    <w:rsid w:val="007E6E20"/>
    <w:rsid w:val="007E732A"/>
    <w:rsid w:val="007E7C1D"/>
    <w:rsid w:val="007F05F0"/>
    <w:rsid w:val="007F0B50"/>
    <w:rsid w:val="007F14BA"/>
    <w:rsid w:val="007F1F66"/>
    <w:rsid w:val="007F272F"/>
    <w:rsid w:val="007F4F16"/>
    <w:rsid w:val="007F5791"/>
    <w:rsid w:val="007F6FB5"/>
    <w:rsid w:val="007F793E"/>
    <w:rsid w:val="008003D9"/>
    <w:rsid w:val="008004E7"/>
    <w:rsid w:val="0080055E"/>
    <w:rsid w:val="0080274F"/>
    <w:rsid w:val="00802C90"/>
    <w:rsid w:val="008036AF"/>
    <w:rsid w:val="008043D1"/>
    <w:rsid w:val="00804D01"/>
    <w:rsid w:val="008050A2"/>
    <w:rsid w:val="00807ECF"/>
    <w:rsid w:val="00815D4B"/>
    <w:rsid w:val="0081644D"/>
    <w:rsid w:val="00816836"/>
    <w:rsid w:val="00816E77"/>
    <w:rsid w:val="00816FC6"/>
    <w:rsid w:val="0081732C"/>
    <w:rsid w:val="00820065"/>
    <w:rsid w:val="008206D4"/>
    <w:rsid w:val="00820904"/>
    <w:rsid w:val="0082182E"/>
    <w:rsid w:val="00821A24"/>
    <w:rsid w:val="00821A4B"/>
    <w:rsid w:val="00822B5D"/>
    <w:rsid w:val="008233E3"/>
    <w:rsid w:val="00823993"/>
    <w:rsid w:val="008257A4"/>
    <w:rsid w:val="008270D8"/>
    <w:rsid w:val="00831263"/>
    <w:rsid w:val="00831DB7"/>
    <w:rsid w:val="008320B0"/>
    <w:rsid w:val="00832EBF"/>
    <w:rsid w:val="0083300A"/>
    <w:rsid w:val="008358B3"/>
    <w:rsid w:val="008366CB"/>
    <w:rsid w:val="00836F3B"/>
    <w:rsid w:val="0083703A"/>
    <w:rsid w:val="00837F3A"/>
    <w:rsid w:val="008402DB"/>
    <w:rsid w:val="0084094E"/>
    <w:rsid w:val="008419AF"/>
    <w:rsid w:val="00841C03"/>
    <w:rsid w:val="00841CD7"/>
    <w:rsid w:val="00841F69"/>
    <w:rsid w:val="0084419B"/>
    <w:rsid w:val="008508F4"/>
    <w:rsid w:val="00850E5F"/>
    <w:rsid w:val="008520EA"/>
    <w:rsid w:val="0085220A"/>
    <w:rsid w:val="0085313D"/>
    <w:rsid w:val="00853363"/>
    <w:rsid w:val="008535D5"/>
    <w:rsid w:val="008537DD"/>
    <w:rsid w:val="00853C64"/>
    <w:rsid w:val="0085573B"/>
    <w:rsid w:val="00855D5C"/>
    <w:rsid w:val="00857ADA"/>
    <w:rsid w:val="00857BD8"/>
    <w:rsid w:val="00857F2F"/>
    <w:rsid w:val="00861CFD"/>
    <w:rsid w:val="008620CA"/>
    <w:rsid w:val="008620F3"/>
    <w:rsid w:val="00864CD3"/>
    <w:rsid w:val="00866257"/>
    <w:rsid w:val="0086625B"/>
    <w:rsid w:val="00870454"/>
    <w:rsid w:val="00870F31"/>
    <w:rsid w:val="008715CC"/>
    <w:rsid w:val="00871A3B"/>
    <w:rsid w:val="00874F24"/>
    <w:rsid w:val="00876230"/>
    <w:rsid w:val="008765AF"/>
    <w:rsid w:val="008770A6"/>
    <w:rsid w:val="00877C80"/>
    <w:rsid w:val="00877D5B"/>
    <w:rsid w:val="00880F50"/>
    <w:rsid w:val="00880FF9"/>
    <w:rsid w:val="00882D51"/>
    <w:rsid w:val="0088428C"/>
    <w:rsid w:val="00885468"/>
    <w:rsid w:val="00886B1E"/>
    <w:rsid w:val="00893567"/>
    <w:rsid w:val="008954D5"/>
    <w:rsid w:val="00896111"/>
    <w:rsid w:val="00896B5A"/>
    <w:rsid w:val="008975A3"/>
    <w:rsid w:val="008A1C9D"/>
    <w:rsid w:val="008A2141"/>
    <w:rsid w:val="008A238A"/>
    <w:rsid w:val="008A29BC"/>
    <w:rsid w:val="008A4582"/>
    <w:rsid w:val="008A460D"/>
    <w:rsid w:val="008A4839"/>
    <w:rsid w:val="008A4CD5"/>
    <w:rsid w:val="008A4FE4"/>
    <w:rsid w:val="008A5C27"/>
    <w:rsid w:val="008A5E48"/>
    <w:rsid w:val="008A644A"/>
    <w:rsid w:val="008A709C"/>
    <w:rsid w:val="008A7838"/>
    <w:rsid w:val="008A7CCA"/>
    <w:rsid w:val="008AC1F5"/>
    <w:rsid w:val="008B05BD"/>
    <w:rsid w:val="008B0C03"/>
    <w:rsid w:val="008B0DD1"/>
    <w:rsid w:val="008B3F52"/>
    <w:rsid w:val="008B40AF"/>
    <w:rsid w:val="008B427B"/>
    <w:rsid w:val="008B5375"/>
    <w:rsid w:val="008B55E3"/>
    <w:rsid w:val="008B5B85"/>
    <w:rsid w:val="008B6009"/>
    <w:rsid w:val="008B6DAD"/>
    <w:rsid w:val="008B7D2C"/>
    <w:rsid w:val="008C0ED3"/>
    <w:rsid w:val="008C11EB"/>
    <w:rsid w:val="008C148F"/>
    <w:rsid w:val="008C155F"/>
    <w:rsid w:val="008C1942"/>
    <w:rsid w:val="008C398A"/>
    <w:rsid w:val="008C4439"/>
    <w:rsid w:val="008C5F01"/>
    <w:rsid w:val="008C6301"/>
    <w:rsid w:val="008D013D"/>
    <w:rsid w:val="008D0818"/>
    <w:rsid w:val="008D1081"/>
    <w:rsid w:val="008D15AA"/>
    <w:rsid w:val="008D15C6"/>
    <w:rsid w:val="008D1B73"/>
    <w:rsid w:val="008D2245"/>
    <w:rsid w:val="008D242F"/>
    <w:rsid w:val="008D28E9"/>
    <w:rsid w:val="008D2B44"/>
    <w:rsid w:val="008D2D74"/>
    <w:rsid w:val="008D32F0"/>
    <w:rsid w:val="008D3EB6"/>
    <w:rsid w:val="008D5012"/>
    <w:rsid w:val="008D6968"/>
    <w:rsid w:val="008D7061"/>
    <w:rsid w:val="008D7B95"/>
    <w:rsid w:val="008E2003"/>
    <w:rsid w:val="008E3006"/>
    <w:rsid w:val="008E3B42"/>
    <w:rsid w:val="008E3F07"/>
    <w:rsid w:val="008E4FAD"/>
    <w:rsid w:val="008E55F6"/>
    <w:rsid w:val="008E5F36"/>
    <w:rsid w:val="008E6A72"/>
    <w:rsid w:val="008E7F3D"/>
    <w:rsid w:val="008F2757"/>
    <w:rsid w:val="008F2E4F"/>
    <w:rsid w:val="008F2EE7"/>
    <w:rsid w:val="008F301E"/>
    <w:rsid w:val="008F3D6B"/>
    <w:rsid w:val="008F49BE"/>
    <w:rsid w:val="008F4B4D"/>
    <w:rsid w:val="008F5716"/>
    <w:rsid w:val="008F6A08"/>
    <w:rsid w:val="008F73EF"/>
    <w:rsid w:val="008F7436"/>
    <w:rsid w:val="008F7AED"/>
    <w:rsid w:val="00902B20"/>
    <w:rsid w:val="00902DB8"/>
    <w:rsid w:val="00903277"/>
    <w:rsid w:val="0090366B"/>
    <w:rsid w:val="0090541B"/>
    <w:rsid w:val="009055E4"/>
    <w:rsid w:val="00905F09"/>
    <w:rsid w:val="00906DC6"/>
    <w:rsid w:val="00907126"/>
    <w:rsid w:val="009073F8"/>
    <w:rsid w:val="009106EC"/>
    <w:rsid w:val="009108EE"/>
    <w:rsid w:val="00913F7A"/>
    <w:rsid w:val="009141FA"/>
    <w:rsid w:val="0091569D"/>
    <w:rsid w:val="00915909"/>
    <w:rsid w:val="00916338"/>
    <w:rsid w:val="0091691F"/>
    <w:rsid w:val="0091698C"/>
    <w:rsid w:val="009172D9"/>
    <w:rsid w:val="009174CC"/>
    <w:rsid w:val="00917E9C"/>
    <w:rsid w:val="009222D9"/>
    <w:rsid w:val="00922FC7"/>
    <w:rsid w:val="00924153"/>
    <w:rsid w:val="00924E0B"/>
    <w:rsid w:val="00925B7F"/>
    <w:rsid w:val="00925E5A"/>
    <w:rsid w:val="0092646F"/>
    <w:rsid w:val="00926E75"/>
    <w:rsid w:val="00927E3D"/>
    <w:rsid w:val="00931992"/>
    <w:rsid w:val="00932924"/>
    <w:rsid w:val="009330A2"/>
    <w:rsid w:val="00933847"/>
    <w:rsid w:val="00933A66"/>
    <w:rsid w:val="00935C62"/>
    <w:rsid w:val="00935CA0"/>
    <w:rsid w:val="00936A00"/>
    <w:rsid w:val="00936A0A"/>
    <w:rsid w:val="00936BE1"/>
    <w:rsid w:val="0094029B"/>
    <w:rsid w:val="00942D50"/>
    <w:rsid w:val="0094359E"/>
    <w:rsid w:val="00944230"/>
    <w:rsid w:val="00945430"/>
    <w:rsid w:val="00945F1A"/>
    <w:rsid w:val="00946685"/>
    <w:rsid w:val="009469E5"/>
    <w:rsid w:val="00950330"/>
    <w:rsid w:val="00951293"/>
    <w:rsid w:val="00951C56"/>
    <w:rsid w:val="00952324"/>
    <w:rsid w:val="00952B03"/>
    <w:rsid w:val="00952B24"/>
    <w:rsid w:val="00952D08"/>
    <w:rsid w:val="0095311B"/>
    <w:rsid w:val="00954498"/>
    <w:rsid w:val="0095599F"/>
    <w:rsid w:val="009560C8"/>
    <w:rsid w:val="009570B0"/>
    <w:rsid w:val="00957312"/>
    <w:rsid w:val="009574EE"/>
    <w:rsid w:val="009576DF"/>
    <w:rsid w:val="009600FD"/>
    <w:rsid w:val="0096081B"/>
    <w:rsid w:val="00962556"/>
    <w:rsid w:val="0096262A"/>
    <w:rsid w:val="00962721"/>
    <w:rsid w:val="00962C61"/>
    <w:rsid w:val="00962EFC"/>
    <w:rsid w:val="00963C32"/>
    <w:rsid w:val="0096424B"/>
    <w:rsid w:val="00964ECA"/>
    <w:rsid w:val="009650B6"/>
    <w:rsid w:val="00966A45"/>
    <w:rsid w:val="00967746"/>
    <w:rsid w:val="00970A9A"/>
    <w:rsid w:val="00970DD0"/>
    <w:rsid w:val="00971DEA"/>
    <w:rsid w:val="00973D04"/>
    <w:rsid w:val="00975622"/>
    <w:rsid w:val="00977B72"/>
    <w:rsid w:val="009803E9"/>
    <w:rsid w:val="0098098B"/>
    <w:rsid w:val="00981F5C"/>
    <w:rsid w:val="00983A6F"/>
    <w:rsid w:val="00984E1B"/>
    <w:rsid w:val="00986FAA"/>
    <w:rsid w:val="00986FB7"/>
    <w:rsid w:val="00987AAA"/>
    <w:rsid w:val="00991415"/>
    <w:rsid w:val="00991E9D"/>
    <w:rsid w:val="00992086"/>
    <w:rsid w:val="00995237"/>
    <w:rsid w:val="00996808"/>
    <w:rsid w:val="00997528"/>
    <w:rsid w:val="009A0C10"/>
    <w:rsid w:val="009A0FCA"/>
    <w:rsid w:val="009A112A"/>
    <w:rsid w:val="009A1AAB"/>
    <w:rsid w:val="009A21FE"/>
    <w:rsid w:val="009A264B"/>
    <w:rsid w:val="009A294A"/>
    <w:rsid w:val="009A2972"/>
    <w:rsid w:val="009A4AA9"/>
    <w:rsid w:val="009A51AC"/>
    <w:rsid w:val="009B0708"/>
    <w:rsid w:val="009B1825"/>
    <w:rsid w:val="009B1C9A"/>
    <w:rsid w:val="009B26A5"/>
    <w:rsid w:val="009B32FA"/>
    <w:rsid w:val="009B5E0A"/>
    <w:rsid w:val="009B765F"/>
    <w:rsid w:val="009C1D57"/>
    <w:rsid w:val="009C204F"/>
    <w:rsid w:val="009C2864"/>
    <w:rsid w:val="009C3E1D"/>
    <w:rsid w:val="009C3F81"/>
    <w:rsid w:val="009C54A8"/>
    <w:rsid w:val="009C59B4"/>
    <w:rsid w:val="009C720D"/>
    <w:rsid w:val="009C73CF"/>
    <w:rsid w:val="009C7DAB"/>
    <w:rsid w:val="009D109B"/>
    <w:rsid w:val="009D12AF"/>
    <w:rsid w:val="009D1317"/>
    <w:rsid w:val="009D153A"/>
    <w:rsid w:val="009D2974"/>
    <w:rsid w:val="009D3205"/>
    <w:rsid w:val="009D329F"/>
    <w:rsid w:val="009D38AA"/>
    <w:rsid w:val="009D426A"/>
    <w:rsid w:val="009D7666"/>
    <w:rsid w:val="009E00AE"/>
    <w:rsid w:val="009E09D3"/>
    <w:rsid w:val="009E0FA6"/>
    <w:rsid w:val="009E15F7"/>
    <w:rsid w:val="009E19EF"/>
    <w:rsid w:val="009E1A53"/>
    <w:rsid w:val="009E2C85"/>
    <w:rsid w:val="009E3EEB"/>
    <w:rsid w:val="009E4071"/>
    <w:rsid w:val="009E41A1"/>
    <w:rsid w:val="009E429D"/>
    <w:rsid w:val="009E51FE"/>
    <w:rsid w:val="009E5321"/>
    <w:rsid w:val="009E5A2F"/>
    <w:rsid w:val="009E6806"/>
    <w:rsid w:val="009E6E39"/>
    <w:rsid w:val="009E6E74"/>
    <w:rsid w:val="009F03D1"/>
    <w:rsid w:val="009F0C79"/>
    <w:rsid w:val="009F23FF"/>
    <w:rsid w:val="009F55FF"/>
    <w:rsid w:val="009F6541"/>
    <w:rsid w:val="009F6739"/>
    <w:rsid w:val="009F6A88"/>
    <w:rsid w:val="009F6C37"/>
    <w:rsid w:val="009F79F2"/>
    <w:rsid w:val="00A000BA"/>
    <w:rsid w:val="00A00755"/>
    <w:rsid w:val="00A012C7"/>
    <w:rsid w:val="00A013DB"/>
    <w:rsid w:val="00A031DA"/>
    <w:rsid w:val="00A046C3"/>
    <w:rsid w:val="00A06EAE"/>
    <w:rsid w:val="00A07724"/>
    <w:rsid w:val="00A07D65"/>
    <w:rsid w:val="00A102DE"/>
    <w:rsid w:val="00A10E15"/>
    <w:rsid w:val="00A1134B"/>
    <w:rsid w:val="00A11927"/>
    <w:rsid w:val="00A11C86"/>
    <w:rsid w:val="00A11DAD"/>
    <w:rsid w:val="00A139DB"/>
    <w:rsid w:val="00A13B84"/>
    <w:rsid w:val="00A14E0B"/>
    <w:rsid w:val="00A17475"/>
    <w:rsid w:val="00A17FB7"/>
    <w:rsid w:val="00A2056B"/>
    <w:rsid w:val="00A2250C"/>
    <w:rsid w:val="00A2287B"/>
    <w:rsid w:val="00A231A7"/>
    <w:rsid w:val="00A2504E"/>
    <w:rsid w:val="00A25D96"/>
    <w:rsid w:val="00A2758F"/>
    <w:rsid w:val="00A27E16"/>
    <w:rsid w:val="00A304B6"/>
    <w:rsid w:val="00A30BA1"/>
    <w:rsid w:val="00A30CFF"/>
    <w:rsid w:val="00A31264"/>
    <w:rsid w:val="00A3139D"/>
    <w:rsid w:val="00A31450"/>
    <w:rsid w:val="00A34322"/>
    <w:rsid w:val="00A34C57"/>
    <w:rsid w:val="00A36835"/>
    <w:rsid w:val="00A36B9D"/>
    <w:rsid w:val="00A36CDF"/>
    <w:rsid w:val="00A36FFD"/>
    <w:rsid w:val="00A37078"/>
    <w:rsid w:val="00A37DEE"/>
    <w:rsid w:val="00A404A8"/>
    <w:rsid w:val="00A40EA9"/>
    <w:rsid w:val="00A426A0"/>
    <w:rsid w:val="00A433C3"/>
    <w:rsid w:val="00A43C2A"/>
    <w:rsid w:val="00A445DA"/>
    <w:rsid w:val="00A454EB"/>
    <w:rsid w:val="00A454FC"/>
    <w:rsid w:val="00A4615B"/>
    <w:rsid w:val="00A4781E"/>
    <w:rsid w:val="00A50464"/>
    <w:rsid w:val="00A5051E"/>
    <w:rsid w:val="00A50DD5"/>
    <w:rsid w:val="00A5202E"/>
    <w:rsid w:val="00A5455C"/>
    <w:rsid w:val="00A54BB7"/>
    <w:rsid w:val="00A55074"/>
    <w:rsid w:val="00A55A75"/>
    <w:rsid w:val="00A5643A"/>
    <w:rsid w:val="00A5723C"/>
    <w:rsid w:val="00A573B5"/>
    <w:rsid w:val="00A57906"/>
    <w:rsid w:val="00A57991"/>
    <w:rsid w:val="00A58C23"/>
    <w:rsid w:val="00A600A5"/>
    <w:rsid w:val="00A6011E"/>
    <w:rsid w:val="00A608C2"/>
    <w:rsid w:val="00A60E2C"/>
    <w:rsid w:val="00A61576"/>
    <w:rsid w:val="00A61A60"/>
    <w:rsid w:val="00A63AA4"/>
    <w:rsid w:val="00A64547"/>
    <w:rsid w:val="00A6604E"/>
    <w:rsid w:val="00A67D82"/>
    <w:rsid w:val="00A70386"/>
    <w:rsid w:val="00A707A4"/>
    <w:rsid w:val="00A71123"/>
    <w:rsid w:val="00A7240C"/>
    <w:rsid w:val="00A7274B"/>
    <w:rsid w:val="00A737AF"/>
    <w:rsid w:val="00A73FB8"/>
    <w:rsid w:val="00A758EC"/>
    <w:rsid w:val="00A763CB"/>
    <w:rsid w:val="00A76EA1"/>
    <w:rsid w:val="00A77356"/>
    <w:rsid w:val="00A801D1"/>
    <w:rsid w:val="00A80466"/>
    <w:rsid w:val="00A809B9"/>
    <w:rsid w:val="00A816BE"/>
    <w:rsid w:val="00A81F69"/>
    <w:rsid w:val="00A83AA9"/>
    <w:rsid w:val="00A86735"/>
    <w:rsid w:val="00A86DA0"/>
    <w:rsid w:val="00A87563"/>
    <w:rsid w:val="00A87D25"/>
    <w:rsid w:val="00A90037"/>
    <w:rsid w:val="00A9040A"/>
    <w:rsid w:val="00A91BA0"/>
    <w:rsid w:val="00A91D15"/>
    <w:rsid w:val="00A91D33"/>
    <w:rsid w:val="00A92E4D"/>
    <w:rsid w:val="00A93813"/>
    <w:rsid w:val="00A965F2"/>
    <w:rsid w:val="00A96EBF"/>
    <w:rsid w:val="00A97B8F"/>
    <w:rsid w:val="00AA04E0"/>
    <w:rsid w:val="00AA0D01"/>
    <w:rsid w:val="00AA2CD8"/>
    <w:rsid w:val="00AA324E"/>
    <w:rsid w:val="00AA33EA"/>
    <w:rsid w:val="00AA3484"/>
    <w:rsid w:val="00AA3FEE"/>
    <w:rsid w:val="00AA4D7C"/>
    <w:rsid w:val="00AA5A3A"/>
    <w:rsid w:val="00AA7C24"/>
    <w:rsid w:val="00AA7E7B"/>
    <w:rsid w:val="00AB003E"/>
    <w:rsid w:val="00AB244C"/>
    <w:rsid w:val="00AB2979"/>
    <w:rsid w:val="00AB2DAC"/>
    <w:rsid w:val="00AB42A6"/>
    <w:rsid w:val="00AB4647"/>
    <w:rsid w:val="00AB5387"/>
    <w:rsid w:val="00AB660A"/>
    <w:rsid w:val="00AB67A8"/>
    <w:rsid w:val="00AB6D0F"/>
    <w:rsid w:val="00AB7858"/>
    <w:rsid w:val="00AC06FC"/>
    <w:rsid w:val="00AC21C3"/>
    <w:rsid w:val="00AC43A8"/>
    <w:rsid w:val="00AC5EB6"/>
    <w:rsid w:val="00AC61A6"/>
    <w:rsid w:val="00AC6F22"/>
    <w:rsid w:val="00AC6F8B"/>
    <w:rsid w:val="00AD02EF"/>
    <w:rsid w:val="00AD0418"/>
    <w:rsid w:val="00AD144B"/>
    <w:rsid w:val="00AD1CEE"/>
    <w:rsid w:val="00AD1DD2"/>
    <w:rsid w:val="00AD2062"/>
    <w:rsid w:val="00AD2B94"/>
    <w:rsid w:val="00AD2F1D"/>
    <w:rsid w:val="00AD355B"/>
    <w:rsid w:val="00AD3BF8"/>
    <w:rsid w:val="00AD50CB"/>
    <w:rsid w:val="00AD55B8"/>
    <w:rsid w:val="00AD5614"/>
    <w:rsid w:val="00AD565B"/>
    <w:rsid w:val="00AD59B8"/>
    <w:rsid w:val="00AD5A07"/>
    <w:rsid w:val="00AD6EED"/>
    <w:rsid w:val="00AE0B25"/>
    <w:rsid w:val="00AE0E49"/>
    <w:rsid w:val="00AE0FEC"/>
    <w:rsid w:val="00AE104C"/>
    <w:rsid w:val="00AE1E46"/>
    <w:rsid w:val="00AE2598"/>
    <w:rsid w:val="00AE3312"/>
    <w:rsid w:val="00AE421D"/>
    <w:rsid w:val="00AE474F"/>
    <w:rsid w:val="00AE5FBA"/>
    <w:rsid w:val="00AF0989"/>
    <w:rsid w:val="00AF0DD3"/>
    <w:rsid w:val="00AF1089"/>
    <w:rsid w:val="00AF21A9"/>
    <w:rsid w:val="00AF2B17"/>
    <w:rsid w:val="00AF3E6C"/>
    <w:rsid w:val="00AF447C"/>
    <w:rsid w:val="00AF4AF7"/>
    <w:rsid w:val="00AF6AC6"/>
    <w:rsid w:val="00AF732F"/>
    <w:rsid w:val="00AF77B7"/>
    <w:rsid w:val="00AF785C"/>
    <w:rsid w:val="00AF7905"/>
    <w:rsid w:val="00AF7D44"/>
    <w:rsid w:val="00B00503"/>
    <w:rsid w:val="00B016EC"/>
    <w:rsid w:val="00B01784"/>
    <w:rsid w:val="00B01A50"/>
    <w:rsid w:val="00B01A91"/>
    <w:rsid w:val="00B02BB2"/>
    <w:rsid w:val="00B06C92"/>
    <w:rsid w:val="00B07175"/>
    <w:rsid w:val="00B10C37"/>
    <w:rsid w:val="00B10F54"/>
    <w:rsid w:val="00B115C6"/>
    <w:rsid w:val="00B1235D"/>
    <w:rsid w:val="00B1573C"/>
    <w:rsid w:val="00B16462"/>
    <w:rsid w:val="00B16D11"/>
    <w:rsid w:val="00B174F5"/>
    <w:rsid w:val="00B20386"/>
    <w:rsid w:val="00B205F0"/>
    <w:rsid w:val="00B22681"/>
    <w:rsid w:val="00B23AEB"/>
    <w:rsid w:val="00B24B96"/>
    <w:rsid w:val="00B25DC1"/>
    <w:rsid w:val="00B260A7"/>
    <w:rsid w:val="00B2686F"/>
    <w:rsid w:val="00B275CE"/>
    <w:rsid w:val="00B3005D"/>
    <w:rsid w:val="00B30AA0"/>
    <w:rsid w:val="00B31A10"/>
    <w:rsid w:val="00B32D0E"/>
    <w:rsid w:val="00B32E6E"/>
    <w:rsid w:val="00B336F1"/>
    <w:rsid w:val="00B34287"/>
    <w:rsid w:val="00B3498C"/>
    <w:rsid w:val="00B34B51"/>
    <w:rsid w:val="00B3638B"/>
    <w:rsid w:val="00B37FEE"/>
    <w:rsid w:val="00B42804"/>
    <w:rsid w:val="00B42996"/>
    <w:rsid w:val="00B43224"/>
    <w:rsid w:val="00B43CAD"/>
    <w:rsid w:val="00B450F6"/>
    <w:rsid w:val="00B464C5"/>
    <w:rsid w:val="00B520D0"/>
    <w:rsid w:val="00B52D92"/>
    <w:rsid w:val="00B53113"/>
    <w:rsid w:val="00B53375"/>
    <w:rsid w:val="00B547BA"/>
    <w:rsid w:val="00B556E4"/>
    <w:rsid w:val="00B55A49"/>
    <w:rsid w:val="00B55EE5"/>
    <w:rsid w:val="00B56518"/>
    <w:rsid w:val="00B5660B"/>
    <w:rsid w:val="00B56FCC"/>
    <w:rsid w:val="00B576CC"/>
    <w:rsid w:val="00B578FB"/>
    <w:rsid w:val="00B6044B"/>
    <w:rsid w:val="00B61527"/>
    <w:rsid w:val="00B61CE6"/>
    <w:rsid w:val="00B61D43"/>
    <w:rsid w:val="00B6215F"/>
    <w:rsid w:val="00B62695"/>
    <w:rsid w:val="00B63979"/>
    <w:rsid w:val="00B64C5B"/>
    <w:rsid w:val="00B64FE3"/>
    <w:rsid w:val="00B652AC"/>
    <w:rsid w:val="00B65884"/>
    <w:rsid w:val="00B65905"/>
    <w:rsid w:val="00B667BF"/>
    <w:rsid w:val="00B671DD"/>
    <w:rsid w:val="00B67AD7"/>
    <w:rsid w:val="00B67BEA"/>
    <w:rsid w:val="00B67C52"/>
    <w:rsid w:val="00B67F76"/>
    <w:rsid w:val="00B70B57"/>
    <w:rsid w:val="00B70EFF"/>
    <w:rsid w:val="00B71B6F"/>
    <w:rsid w:val="00B72D0F"/>
    <w:rsid w:val="00B7339F"/>
    <w:rsid w:val="00B7437E"/>
    <w:rsid w:val="00B7532F"/>
    <w:rsid w:val="00B7552B"/>
    <w:rsid w:val="00B7558C"/>
    <w:rsid w:val="00B7563A"/>
    <w:rsid w:val="00B758E1"/>
    <w:rsid w:val="00B75C4F"/>
    <w:rsid w:val="00B7689C"/>
    <w:rsid w:val="00B76D6E"/>
    <w:rsid w:val="00B773BB"/>
    <w:rsid w:val="00B8125F"/>
    <w:rsid w:val="00B8152D"/>
    <w:rsid w:val="00B81774"/>
    <w:rsid w:val="00B830F8"/>
    <w:rsid w:val="00B84222"/>
    <w:rsid w:val="00B84768"/>
    <w:rsid w:val="00B84839"/>
    <w:rsid w:val="00B8555A"/>
    <w:rsid w:val="00B869D8"/>
    <w:rsid w:val="00B874C5"/>
    <w:rsid w:val="00B875CA"/>
    <w:rsid w:val="00B87856"/>
    <w:rsid w:val="00B9194F"/>
    <w:rsid w:val="00B92119"/>
    <w:rsid w:val="00B93B77"/>
    <w:rsid w:val="00B93D5A"/>
    <w:rsid w:val="00B940D8"/>
    <w:rsid w:val="00B95614"/>
    <w:rsid w:val="00B95AFB"/>
    <w:rsid w:val="00B95BF4"/>
    <w:rsid w:val="00BA003B"/>
    <w:rsid w:val="00BA10E6"/>
    <w:rsid w:val="00BA157D"/>
    <w:rsid w:val="00BA18E9"/>
    <w:rsid w:val="00BA2D23"/>
    <w:rsid w:val="00BA4084"/>
    <w:rsid w:val="00BA4868"/>
    <w:rsid w:val="00BA590E"/>
    <w:rsid w:val="00BA5AE2"/>
    <w:rsid w:val="00BA5C84"/>
    <w:rsid w:val="00BA7272"/>
    <w:rsid w:val="00BB0261"/>
    <w:rsid w:val="00BB05E2"/>
    <w:rsid w:val="00BB1B40"/>
    <w:rsid w:val="00BB20CC"/>
    <w:rsid w:val="00BB22B8"/>
    <w:rsid w:val="00BB2D62"/>
    <w:rsid w:val="00BB3D46"/>
    <w:rsid w:val="00BB3D89"/>
    <w:rsid w:val="00BB3DBC"/>
    <w:rsid w:val="00BB4D04"/>
    <w:rsid w:val="00BB4E23"/>
    <w:rsid w:val="00BB5098"/>
    <w:rsid w:val="00BB5759"/>
    <w:rsid w:val="00BB57C2"/>
    <w:rsid w:val="00BB62FA"/>
    <w:rsid w:val="00BB6D40"/>
    <w:rsid w:val="00BB7218"/>
    <w:rsid w:val="00BC04EA"/>
    <w:rsid w:val="00BC12D2"/>
    <w:rsid w:val="00BC1315"/>
    <w:rsid w:val="00BC16A7"/>
    <w:rsid w:val="00BC2144"/>
    <w:rsid w:val="00BC2B12"/>
    <w:rsid w:val="00BC3B79"/>
    <w:rsid w:val="00BC3EA5"/>
    <w:rsid w:val="00BC47DE"/>
    <w:rsid w:val="00BC5985"/>
    <w:rsid w:val="00BC668B"/>
    <w:rsid w:val="00BC7F4E"/>
    <w:rsid w:val="00BD03F3"/>
    <w:rsid w:val="00BD0E1E"/>
    <w:rsid w:val="00BD1111"/>
    <w:rsid w:val="00BD18B0"/>
    <w:rsid w:val="00BD26B6"/>
    <w:rsid w:val="00BD3C47"/>
    <w:rsid w:val="00BD47CF"/>
    <w:rsid w:val="00BD66E9"/>
    <w:rsid w:val="00BD6F30"/>
    <w:rsid w:val="00BD7033"/>
    <w:rsid w:val="00BD7871"/>
    <w:rsid w:val="00BD7987"/>
    <w:rsid w:val="00BD7FCA"/>
    <w:rsid w:val="00BE01C6"/>
    <w:rsid w:val="00BE0909"/>
    <w:rsid w:val="00BE0948"/>
    <w:rsid w:val="00BE0C27"/>
    <w:rsid w:val="00BE28C8"/>
    <w:rsid w:val="00BE3022"/>
    <w:rsid w:val="00BE31F6"/>
    <w:rsid w:val="00BE4BED"/>
    <w:rsid w:val="00BE4DAC"/>
    <w:rsid w:val="00BE56B9"/>
    <w:rsid w:val="00BE59CE"/>
    <w:rsid w:val="00BE5A7F"/>
    <w:rsid w:val="00BF088F"/>
    <w:rsid w:val="00BF13F8"/>
    <w:rsid w:val="00BF1886"/>
    <w:rsid w:val="00BF1A71"/>
    <w:rsid w:val="00BF2477"/>
    <w:rsid w:val="00BF463B"/>
    <w:rsid w:val="00BF4C1B"/>
    <w:rsid w:val="00BF6256"/>
    <w:rsid w:val="00BF6A51"/>
    <w:rsid w:val="00BF7B0B"/>
    <w:rsid w:val="00BF7E23"/>
    <w:rsid w:val="00C00773"/>
    <w:rsid w:val="00C01C91"/>
    <w:rsid w:val="00C01CFF"/>
    <w:rsid w:val="00C0268F"/>
    <w:rsid w:val="00C04CA3"/>
    <w:rsid w:val="00C04D17"/>
    <w:rsid w:val="00C04FCF"/>
    <w:rsid w:val="00C05F71"/>
    <w:rsid w:val="00C070E9"/>
    <w:rsid w:val="00C10F9F"/>
    <w:rsid w:val="00C1130E"/>
    <w:rsid w:val="00C11D4D"/>
    <w:rsid w:val="00C1246F"/>
    <w:rsid w:val="00C13669"/>
    <w:rsid w:val="00C137E1"/>
    <w:rsid w:val="00C13A39"/>
    <w:rsid w:val="00C13C63"/>
    <w:rsid w:val="00C13F71"/>
    <w:rsid w:val="00C153AF"/>
    <w:rsid w:val="00C153F0"/>
    <w:rsid w:val="00C15862"/>
    <w:rsid w:val="00C15883"/>
    <w:rsid w:val="00C15B78"/>
    <w:rsid w:val="00C15CC7"/>
    <w:rsid w:val="00C16328"/>
    <w:rsid w:val="00C16837"/>
    <w:rsid w:val="00C16A3F"/>
    <w:rsid w:val="00C205BF"/>
    <w:rsid w:val="00C2152E"/>
    <w:rsid w:val="00C2207B"/>
    <w:rsid w:val="00C22358"/>
    <w:rsid w:val="00C22A0D"/>
    <w:rsid w:val="00C22E9D"/>
    <w:rsid w:val="00C248B7"/>
    <w:rsid w:val="00C24B38"/>
    <w:rsid w:val="00C2510F"/>
    <w:rsid w:val="00C253FE"/>
    <w:rsid w:val="00C25A33"/>
    <w:rsid w:val="00C26400"/>
    <w:rsid w:val="00C2670C"/>
    <w:rsid w:val="00C26AE0"/>
    <w:rsid w:val="00C277E5"/>
    <w:rsid w:val="00C27DFF"/>
    <w:rsid w:val="00C312DA"/>
    <w:rsid w:val="00C31EE6"/>
    <w:rsid w:val="00C3319B"/>
    <w:rsid w:val="00C355C7"/>
    <w:rsid w:val="00C35CFC"/>
    <w:rsid w:val="00C36D3F"/>
    <w:rsid w:val="00C36F2B"/>
    <w:rsid w:val="00C372D3"/>
    <w:rsid w:val="00C373D8"/>
    <w:rsid w:val="00C40ADA"/>
    <w:rsid w:val="00C419FC"/>
    <w:rsid w:val="00C4490B"/>
    <w:rsid w:val="00C44A1E"/>
    <w:rsid w:val="00C46129"/>
    <w:rsid w:val="00C4686B"/>
    <w:rsid w:val="00C514C3"/>
    <w:rsid w:val="00C51753"/>
    <w:rsid w:val="00C529E8"/>
    <w:rsid w:val="00C53605"/>
    <w:rsid w:val="00C548CE"/>
    <w:rsid w:val="00C56E7C"/>
    <w:rsid w:val="00C6013F"/>
    <w:rsid w:val="00C60F6D"/>
    <w:rsid w:val="00C610BD"/>
    <w:rsid w:val="00C61D23"/>
    <w:rsid w:val="00C63E3F"/>
    <w:rsid w:val="00C641B0"/>
    <w:rsid w:val="00C64756"/>
    <w:rsid w:val="00C64EC8"/>
    <w:rsid w:val="00C654C7"/>
    <w:rsid w:val="00C6580C"/>
    <w:rsid w:val="00C66431"/>
    <w:rsid w:val="00C67B36"/>
    <w:rsid w:val="00C711F8"/>
    <w:rsid w:val="00C71561"/>
    <w:rsid w:val="00C75446"/>
    <w:rsid w:val="00C76F94"/>
    <w:rsid w:val="00C80664"/>
    <w:rsid w:val="00C80816"/>
    <w:rsid w:val="00C8124F"/>
    <w:rsid w:val="00C81513"/>
    <w:rsid w:val="00C8159F"/>
    <w:rsid w:val="00C82FA8"/>
    <w:rsid w:val="00C84637"/>
    <w:rsid w:val="00C8565F"/>
    <w:rsid w:val="00C87AA9"/>
    <w:rsid w:val="00C90D25"/>
    <w:rsid w:val="00C91BC5"/>
    <w:rsid w:val="00C92AD3"/>
    <w:rsid w:val="00C93128"/>
    <w:rsid w:val="00C93678"/>
    <w:rsid w:val="00C93D70"/>
    <w:rsid w:val="00C94B41"/>
    <w:rsid w:val="00C95524"/>
    <w:rsid w:val="00C95580"/>
    <w:rsid w:val="00C957DC"/>
    <w:rsid w:val="00C95BFA"/>
    <w:rsid w:val="00C96992"/>
    <w:rsid w:val="00C96EEC"/>
    <w:rsid w:val="00CA0FE7"/>
    <w:rsid w:val="00CA1009"/>
    <w:rsid w:val="00CA11B7"/>
    <w:rsid w:val="00CA1332"/>
    <w:rsid w:val="00CA1E05"/>
    <w:rsid w:val="00CA1FEE"/>
    <w:rsid w:val="00CA20B6"/>
    <w:rsid w:val="00CA214A"/>
    <w:rsid w:val="00CA2416"/>
    <w:rsid w:val="00CA24F4"/>
    <w:rsid w:val="00CA2850"/>
    <w:rsid w:val="00CA30B4"/>
    <w:rsid w:val="00CA3B8A"/>
    <w:rsid w:val="00CA55CF"/>
    <w:rsid w:val="00CA5D7B"/>
    <w:rsid w:val="00CA71BB"/>
    <w:rsid w:val="00CA72FC"/>
    <w:rsid w:val="00CA76B0"/>
    <w:rsid w:val="00CB11B7"/>
    <w:rsid w:val="00CB2028"/>
    <w:rsid w:val="00CB2B12"/>
    <w:rsid w:val="00CB546F"/>
    <w:rsid w:val="00CB56F5"/>
    <w:rsid w:val="00CB594C"/>
    <w:rsid w:val="00CB6E04"/>
    <w:rsid w:val="00CC2080"/>
    <w:rsid w:val="00CC2459"/>
    <w:rsid w:val="00CC2512"/>
    <w:rsid w:val="00CC2650"/>
    <w:rsid w:val="00CC38CD"/>
    <w:rsid w:val="00CC46C8"/>
    <w:rsid w:val="00CC547F"/>
    <w:rsid w:val="00CC5843"/>
    <w:rsid w:val="00CC65A9"/>
    <w:rsid w:val="00CC7E59"/>
    <w:rsid w:val="00CD0777"/>
    <w:rsid w:val="00CD1151"/>
    <w:rsid w:val="00CD19B9"/>
    <w:rsid w:val="00CD507D"/>
    <w:rsid w:val="00CD5D21"/>
    <w:rsid w:val="00CD5E6C"/>
    <w:rsid w:val="00CD61F5"/>
    <w:rsid w:val="00CD7FD3"/>
    <w:rsid w:val="00CE0BCA"/>
    <w:rsid w:val="00CE4470"/>
    <w:rsid w:val="00CE46FE"/>
    <w:rsid w:val="00CE59D9"/>
    <w:rsid w:val="00CE752D"/>
    <w:rsid w:val="00CE7587"/>
    <w:rsid w:val="00CE7906"/>
    <w:rsid w:val="00CF0328"/>
    <w:rsid w:val="00CF0363"/>
    <w:rsid w:val="00CF0B6C"/>
    <w:rsid w:val="00CF0E19"/>
    <w:rsid w:val="00CF114D"/>
    <w:rsid w:val="00CF1477"/>
    <w:rsid w:val="00CF2900"/>
    <w:rsid w:val="00CF3195"/>
    <w:rsid w:val="00CF3377"/>
    <w:rsid w:val="00CF44DA"/>
    <w:rsid w:val="00CF4B9B"/>
    <w:rsid w:val="00CF4CFE"/>
    <w:rsid w:val="00CF4EAE"/>
    <w:rsid w:val="00CF5335"/>
    <w:rsid w:val="00CF54F8"/>
    <w:rsid w:val="00CF56F0"/>
    <w:rsid w:val="00CF675F"/>
    <w:rsid w:val="00CF740C"/>
    <w:rsid w:val="00CF74B5"/>
    <w:rsid w:val="00D00C3A"/>
    <w:rsid w:val="00D031F4"/>
    <w:rsid w:val="00D0352B"/>
    <w:rsid w:val="00D039A0"/>
    <w:rsid w:val="00D049A2"/>
    <w:rsid w:val="00D04F2B"/>
    <w:rsid w:val="00D073CF"/>
    <w:rsid w:val="00D1044E"/>
    <w:rsid w:val="00D10977"/>
    <w:rsid w:val="00D117F9"/>
    <w:rsid w:val="00D11F20"/>
    <w:rsid w:val="00D130AB"/>
    <w:rsid w:val="00D14196"/>
    <w:rsid w:val="00D15160"/>
    <w:rsid w:val="00D157A2"/>
    <w:rsid w:val="00D163E3"/>
    <w:rsid w:val="00D1724A"/>
    <w:rsid w:val="00D2035F"/>
    <w:rsid w:val="00D216E4"/>
    <w:rsid w:val="00D21E9C"/>
    <w:rsid w:val="00D21FA3"/>
    <w:rsid w:val="00D23529"/>
    <w:rsid w:val="00D2360B"/>
    <w:rsid w:val="00D244AC"/>
    <w:rsid w:val="00D258B3"/>
    <w:rsid w:val="00D264B9"/>
    <w:rsid w:val="00D26C7F"/>
    <w:rsid w:val="00D26C8A"/>
    <w:rsid w:val="00D27B14"/>
    <w:rsid w:val="00D27C55"/>
    <w:rsid w:val="00D27D9B"/>
    <w:rsid w:val="00D32D5C"/>
    <w:rsid w:val="00D33114"/>
    <w:rsid w:val="00D33948"/>
    <w:rsid w:val="00D3402B"/>
    <w:rsid w:val="00D34DA6"/>
    <w:rsid w:val="00D35E23"/>
    <w:rsid w:val="00D36B40"/>
    <w:rsid w:val="00D36BBA"/>
    <w:rsid w:val="00D372C2"/>
    <w:rsid w:val="00D376DB"/>
    <w:rsid w:val="00D40AC0"/>
    <w:rsid w:val="00D40DE9"/>
    <w:rsid w:val="00D41212"/>
    <w:rsid w:val="00D422BF"/>
    <w:rsid w:val="00D42470"/>
    <w:rsid w:val="00D42A2A"/>
    <w:rsid w:val="00D42B45"/>
    <w:rsid w:val="00D43CCC"/>
    <w:rsid w:val="00D4689E"/>
    <w:rsid w:val="00D46EF1"/>
    <w:rsid w:val="00D4726B"/>
    <w:rsid w:val="00D47E4C"/>
    <w:rsid w:val="00D503E4"/>
    <w:rsid w:val="00D506B0"/>
    <w:rsid w:val="00D50FC7"/>
    <w:rsid w:val="00D520AC"/>
    <w:rsid w:val="00D5386E"/>
    <w:rsid w:val="00D53896"/>
    <w:rsid w:val="00D53C45"/>
    <w:rsid w:val="00D5523F"/>
    <w:rsid w:val="00D5570D"/>
    <w:rsid w:val="00D567D9"/>
    <w:rsid w:val="00D56813"/>
    <w:rsid w:val="00D60FDE"/>
    <w:rsid w:val="00D6158F"/>
    <w:rsid w:val="00D623FE"/>
    <w:rsid w:val="00D64C8E"/>
    <w:rsid w:val="00D6509F"/>
    <w:rsid w:val="00D653B1"/>
    <w:rsid w:val="00D660A1"/>
    <w:rsid w:val="00D669FF"/>
    <w:rsid w:val="00D66BCB"/>
    <w:rsid w:val="00D66BEA"/>
    <w:rsid w:val="00D66FC2"/>
    <w:rsid w:val="00D723B9"/>
    <w:rsid w:val="00D729FD"/>
    <w:rsid w:val="00D72F00"/>
    <w:rsid w:val="00D738D0"/>
    <w:rsid w:val="00D73EFE"/>
    <w:rsid w:val="00D74F0A"/>
    <w:rsid w:val="00D74F58"/>
    <w:rsid w:val="00D75BF3"/>
    <w:rsid w:val="00D76EC9"/>
    <w:rsid w:val="00D80103"/>
    <w:rsid w:val="00D807FE"/>
    <w:rsid w:val="00D8162E"/>
    <w:rsid w:val="00D8254C"/>
    <w:rsid w:val="00D827B7"/>
    <w:rsid w:val="00D84255"/>
    <w:rsid w:val="00D842A9"/>
    <w:rsid w:val="00D857C9"/>
    <w:rsid w:val="00D8599C"/>
    <w:rsid w:val="00D86010"/>
    <w:rsid w:val="00D8668B"/>
    <w:rsid w:val="00D87979"/>
    <w:rsid w:val="00D913B5"/>
    <w:rsid w:val="00D919A4"/>
    <w:rsid w:val="00D91BE9"/>
    <w:rsid w:val="00D91E93"/>
    <w:rsid w:val="00D92274"/>
    <w:rsid w:val="00D93858"/>
    <w:rsid w:val="00D94125"/>
    <w:rsid w:val="00D94339"/>
    <w:rsid w:val="00D94D06"/>
    <w:rsid w:val="00D94D07"/>
    <w:rsid w:val="00D94D14"/>
    <w:rsid w:val="00D960AE"/>
    <w:rsid w:val="00D96874"/>
    <w:rsid w:val="00D9707F"/>
    <w:rsid w:val="00D976FC"/>
    <w:rsid w:val="00DA0FFE"/>
    <w:rsid w:val="00DA1F8E"/>
    <w:rsid w:val="00DA21D9"/>
    <w:rsid w:val="00DA24EE"/>
    <w:rsid w:val="00DA331D"/>
    <w:rsid w:val="00DA3B90"/>
    <w:rsid w:val="00DA4C85"/>
    <w:rsid w:val="00DA57A4"/>
    <w:rsid w:val="00DA651F"/>
    <w:rsid w:val="00DA6777"/>
    <w:rsid w:val="00DA7468"/>
    <w:rsid w:val="00DA7C17"/>
    <w:rsid w:val="00DB0D07"/>
    <w:rsid w:val="00DB1F7A"/>
    <w:rsid w:val="00DB3418"/>
    <w:rsid w:val="00DB3EA9"/>
    <w:rsid w:val="00DB3FEB"/>
    <w:rsid w:val="00DB457F"/>
    <w:rsid w:val="00DB54AF"/>
    <w:rsid w:val="00DB606F"/>
    <w:rsid w:val="00DB6E0D"/>
    <w:rsid w:val="00DB7CDB"/>
    <w:rsid w:val="00DC138D"/>
    <w:rsid w:val="00DC21A2"/>
    <w:rsid w:val="00DC3716"/>
    <w:rsid w:val="00DC377E"/>
    <w:rsid w:val="00DC39E8"/>
    <w:rsid w:val="00DC482C"/>
    <w:rsid w:val="00DC492A"/>
    <w:rsid w:val="00DC4F22"/>
    <w:rsid w:val="00DC5990"/>
    <w:rsid w:val="00DC5C51"/>
    <w:rsid w:val="00DC6F00"/>
    <w:rsid w:val="00DC7071"/>
    <w:rsid w:val="00DC7DEF"/>
    <w:rsid w:val="00DD03FD"/>
    <w:rsid w:val="00DD1182"/>
    <w:rsid w:val="00DD2165"/>
    <w:rsid w:val="00DD2176"/>
    <w:rsid w:val="00DD24A4"/>
    <w:rsid w:val="00DD3318"/>
    <w:rsid w:val="00DD345B"/>
    <w:rsid w:val="00DD358C"/>
    <w:rsid w:val="00DD3A4E"/>
    <w:rsid w:val="00DD4CE5"/>
    <w:rsid w:val="00DD4E70"/>
    <w:rsid w:val="00DD51B7"/>
    <w:rsid w:val="00DD5281"/>
    <w:rsid w:val="00DD5341"/>
    <w:rsid w:val="00DD5F80"/>
    <w:rsid w:val="00DD6487"/>
    <w:rsid w:val="00DD67CD"/>
    <w:rsid w:val="00DD788A"/>
    <w:rsid w:val="00DE0408"/>
    <w:rsid w:val="00DE0D74"/>
    <w:rsid w:val="00DE2205"/>
    <w:rsid w:val="00DE24B7"/>
    <w:rsid w:val="00DE2AA9"/>
    <w:rsid w:val="00DE2AD6"/>
    <w:rsid w:val="00DE2E27"/>
    <w:rsid w:val="00DE2E70"/>
    <w:rsid w:val="00DE51E3"/>
    <w:rsid w:val="00DE61D7"/>
    <w:rsid w:val="00DE677A"/>
    <w:rsid w:val="00DE6998"/>
    <w:rsid w:val="00DE70D0"/>
    <w:rsid w:val="00DF003E"/>
    <w:rsid w:val="00DF0054"/>
    <w:rsid w:val="00DF1572"/>
    <w:rsid w:val="00DF18A6"/>
    <w:rsid w:val="00DF209F"/>
    <w:rsid w:val="00DF255B"/>
    <w:rsid w:val="00DF2688"/>
    <w:rsid w:val="00DF287D"/>
    <w:rsid w:val="00DF2FE9"/>
    <w:rsid w:val="00DF3087"/>
    <w:rsid w:val="00DF3309"/>
    <w:rsid w:val="00DF4BFB"/>
    <w:rsid w:val="00DF5047"/>
    <w:rsid w:val="00DF50F2"/>
    <w:rsid w:val="00DF5124"/>
    <w:rsid w:val="00DF5BCF"/>
    <w:rsid w:val="00DF7F39"/>
    <w:rsid w:val="00E00958"/>
    <w:rsid w:val="00E018B1"/>
    <w:rsid w:val="00E01DED"/>
    <w:rsid w:val="00E025B3"/>
    <w:rsid w:val="00E02D86"/>
    <w:rsid w:val="00E02F70"/>
    <w:rsid w:val="00E0303B"/>
    <w:rsid w:val="00E03CF6"/>
    <w:rsid w:val="00E0510C"/>
    <w:rsid w:val="00E06585"/>
    <w:rsid w:val="00E10BCB"/>
    <w:rsid w:val="00E1167C"/>
    <w:rsid w:val="00E12446"/>
    <w:rsid w:val="00E12E64"/>
    <w:rsid w:val="00E131A1"/>
    <w:rsid w:val="00E13BE1"/>
    <w:rsid w:val="00E14A35"/>
    <w:rsid w:val="00E14B30"/>
    <w:rsid w:val="00E1702C"/>
    <w:rsid w:val="00E17846"/>
    <w:rsid w:val="00E17DEF"/>
    <w:rsid w:val="00E20CBB"/>
    <w:rsid w:val="00E22EE8"/>
    <w:rsid w:val="00E23ABB"/>
    <w:rsid w:val="00E23E99"/>
    <w:rsid w:val="00E24BCE"/>
    <w:rsid w:val="00E25713"/>
    <w:rsid w:val="00E25C21"/>
    <w:rsid w:val="00E27E30"/>
    <w:rsid w:val="00E3093A"/>
    <w:rsid w:val="00E31444"/>
    <w:rsid w:val="00E31630"/>
    <w:rsid w:val="00E31959"/>
    <w:rsid w:val="00E31A37"/>
    <w:rsid w:val="00E31ACB"/>
    <w:rsid w:val="00E31CB5"/>
    <w:rsid w:val="00E31E45"/>
    <w:rsid w:val="00E32E89"/>
    <w:rsid w:val="00E32FDC"/>
    <w:rsid w:val="00E33078"/>
    <w:rsid w:val="00E3317F"/>
    <w:rsid w:val="00E335AB"/>
    <w:rsid w:val="00E33AB6"/>
    <w:rsid w:val="00E33EB5"/>
    <w:rsid w:val="00E33F45"/>
    <w:rsid w:val="00E35955"/>
    <w:rsid w:val="00E35A1C"/>
    <w:rsid w:val="00E4012C"/>
    <w:rsid w:val="00E42A8F"/>
    <w:rsid w:val="00E43A21"/>
    <w:rsid w:val="00E43E3C"/>
    <w:rsid w:val="00E442DE"/>
    <w:rsid w:val="00E44396"/>
    <w:rsid w:val="00E44B30"/>
    <w:rsid w:val="00E51CB2"/>
    <w:rsid w:val="00E52DE5"/>
    <w:rsid w:val="00E53CFA"/>
    <w:rsid w:val="00E53DFE"/>
    <w:rsid w:val="00E55532"/>
    <w:rsid w:val="00E55589"/>
    <w:rsid w:val="00E5568F"/>
    <w:rsid w:val="00E605B3"/>
    <w:rsid w:val="00E61675"/>
    <w:rsid w:val="00E61D18"/>
    <w:rsid w:val="00E61FD6"/>
    <w:rsid w:val="00E63326"/>
    <w:rsid w:val="00E64642"/>
    <w:rsid w:val="00E647E9"/>
    <w:rsid w:val="00E654CA"/>
    <w:rsid w:val="00E65C9D"/>
    <w:rsid w:val="00E66032"/>
    <w:rsid w:val="00E6612B"/>
    <w:rsid w:val="00E675B2"/>
    <w:rsid w:val="00E67BF6"/>
    <w:rsid w:val="00E67F21"/>
    <w:rsid w:val="00E70D91"/>
    <w:rsid w:val="00E70EED"/>
    <w:rsid w:val="00E71D70"/>
    <w:rsid w:val="00E7213C"/>
    <w:rsid w:val="00E72864"/>
    <w:rsid w:val="00E72D90"/>
    <w:rsid w:val="00E741D5"/>
    <w:rsid w:val="00E74474"/>
    <w:rsid w:val="00E74552"/>
    <w:rsid w:val="00E74F5B"/>
    <w:rsid w:val="00E75401"/>
    <w:rsid w:val="00E7550F"/>
    <w:rsid w:val="00E76ABE"/>
    <w:rsid w:val="00E7770D"/>
    <w:rsid w:val="00E77D07"/>
    <w:rsid w:val="00E77E02"/>
    <w:rsid w:val="00E77E20"/>
    <w:rsid w:val="00E8008F"/>
    <w:rsid w:val="00E80907"/>
    <w:rsid w:val="00E80988"/>
    <w:rsid w:val="00E80A96"/>
    <w:rsid w:val="00E80E59"/>
    <w:rsid w:val="00E814B0"/>
    <w:rsid w:val="00E819D8"/>
    <w:rsid w:val="00E81C80"/>
    <w:rsid w:val="00E83888"/>
    <w:rsid w:val="00E84189"/>
    <w:rsid w:val="00E8497E"/>
    <w:rsid w:val="00E85238"/>
    <w:rsid w:val="00E85A39"/>
    <w:rsid w:val="00E864BC"/>
    <w:rsid w:val="00E86D10"/>
    <w:rsid w:val="00E87522"/>
    <w:rsid w:val="00E87A6A"/>
    <w:rsid w:val="00E87C16"/>
    <w:rsid w:val="00E87D5F"/>
    <w:rsid w:val="00E9232A"/>
    <w:rsid w:val="00E92955"/>
    <w:rsid w:val="00E92B77"/>
    <w:rsid w:val="00E93420"/>
    <w:rsid w:val="00E95489"/>
    <w:rsid w:val="00E954ED"/>
    <w:rsid w:val="00E96DAA"/>
    <w:rsid w:val="00EA0591"/>
    <w:rsid w:val="00EA1238"/>
    <w:rsid w:val="00EA15F1"/>
    <w:rsid w:val="00EA363A"/>
    <w:rsid w:val="00EA4D1B"/>
    <w:rsid w:val="00EA7BEB"/>
    <w:rsid w:val="00EA7FE6"/>
    <w:rsid w:val="00EB0CD1"/>
    <w:rsid w:val="00EB1D11"/>
    <w:rsid w:val="00EB1D8E"/>
    <w:rsid w:val="00EB3D31"/>
    <w:rsid w:val="00EB3E31"/>
    <w:rsid w:val="00EB512F"/>
    <w:rsid w:val="00EB61F2"/>
    <w:rsid w:val="00EC0249"/>
    <w:rsid w:val="00EC094D"/>
    <w:rsid w:val="00EC1B4F"/>
    <w:rsid w:val="00EC2093"/>
    <w:rsid w:val="00EC38A2"/>
    <w:rsid w:val="00EC3CCA"/>
    <w:rsid w:val="00EC4DEE"/>
    <w:rsid w:val="00EC5023"/>
    <w:rsid w:val="00EC6638"/>
    <w:rsid w:val="00EC6841"/>
    <w:rsid w:val="00EC6CE9"/>
    <w:rsid w:val="00EC7993"/>
    <w:rsid w:val="00EC7D6A"/>
    <w:rsid w:val="00EC7FD7"/>
    <w:rsid w:val="00ED0022"/>
    <w:rsid w:val="00ED05D4"/>
    <w:rsid w:val="00ED25C1"/>
    <w:rsid w:val="00ED37F1"/>
    <w:rsid w:val="00ED3CA2"/>
    <w:rsid w:val="00ED3D05"/>
    <w:rsid w:val="00ED5C67"/>
    <w:rsid w:val="00ED781A"/>
    <w:rsid w:val="00ED78DF"/>
    <w:rsid w:val="00EE34B6"/>
    <w:rsid w:val="00EE3B98"/>
    <w:rsid w:val="00EE603F"/>
    <w:rsid w:val="00EE64AE"/>
    <w:rsid w:val="00EE769D"/>
    <w:rsid w:val="00EE7DC4"/>
    <w:rsid w:val="00EE7E01"/>
    <w:rsid w:val="00EE7F01"/>
    <w:rsid w:val="00EF0932"/>
    <w:rsid w:val="00EF12E0"/>
    <w:rsid w:val="00EF166E"/>
    <w:rsid w:val="00EF2B76"/>
    <w:rsid w:val="00EF48AD"/>
    <w:rsid w:val="00F00EDC"/>
    <w:rsid w:val="00F0133A"/>
    <w:rsid w:val="00F040F4"/>
    <w:rsid w:val="00F04126"/>
    <w:rsid w:val="00F04C7E"/>
    <w:rsid w:val="00F057A8"/>
    <w:rsid w:val="00F057C7"/>
    <w:rsid w:val="00F058AE"/>
    <w:rsid w:val="00F05D22"/>
    <w:rsid w:val="00F06322"/>
    <w:rsid w:val="00F06445"/>
    <w:rsid w:val="00F06F5D"/>
    <w:rsid w:val="00F07114"/>
    <w:rsid w:val="00F07281"/>
    <w:rsid w:val="00F074A0"/>
    <w:rsid w:val="00F100DD"/>
    <w:rsid w:val="00F11303"/>
    <w:rsid w:val="00F1152D"/>
    <w:rsid w:val="00F11610"/>
    <w:rsid w:val="00F12BC7"/>
    <w:rsid w:val="00F12FA9"/>
    <w:rsid w:val="00F13BE1"/>
    <w:rsid w:val="00F14DC1"/>
    <w:rsid w:val="00F1580D"/>
    <w:rsid w:val="00F1689E"/>
    <w:rsid w:val="00F1745C"/>
    <w:rsid w:val="00F1792A"/>
    <w:rsid w:val="00F206A7"/>
    <w:rsid w:val="00F208AE"/>
    <w:rsid w:val="00F20CFE"/>
    <w:rsid w:val="00F2194B"/>
    <w:rsid w:val="00F21F8A"/>
    <w:rsid w:val="00F22E2E"/>
    <w:rsid w:val="00F24EC0"/>
    <w:rsid w:val="00F2615B"/>
    <w:rsid w:val="00F27839"/>
    <w:rsid w:val="00F300E6"/>
    <w:rsid w:val="00F3105E"/>
    <w:rsid w:val="00F32637"/>
    <w:rsid w:val="00F332A2"/>
    <w:rsid w:val="00F33B0C"/>
    <w:rsid w:val="00F33FA3"/>
    <w:rsid w:val="00F3442C"/>
    <w:rsid w:val="00F34F0C"/>
    <w:rsid w:val="00F40066"/>
    <w:rsid w:val="00F402F5"/>
    <w:rsid w:val="00F406A4"/>
    <w:rsid w:val="00F4092A"/>
    <w:rsid w:val="00F41591"/>
    <w:rsid w:val="00F41661"/>
    <w:rsid w:val="00F41A63"/>
    <w:rsid w:val="00F42031"/>
    <w:rsid w:val="00F42BCA"/>
    <w:rsid w:val="00F457DD"/>
    <w:rsid w:val="00F45B5D"/>
    <w:rsid w:val="00F45BEB"/>
    <w:rsid w:val="00F4635C"/>
    <w:rsid w:val="00F47591"/>
    <w:rsid w:val="00F5032B"/>
    <w:rsid w:val="00F50784"/>
    <w:rsid w:val="00F51F56"/>
    <w:rsid w:val="00F525BF"/>
    <w:rsid w:val="00F5299A"/>
    <w:rsid w:val="00F53D86"/>
    <w:rsid w:val="00F54523"/>
    <w:rsid w:val="00F54A43"/>
    <w:rsid w:val="00F56936"/>
    <w:rsid w:val="00F57307"/>
    <w:rsid w:val="00F57899"/>
    <w:rsid w:val="00F57D22"/>
    <w:rsid w:val="00F606F4"/>
    <w:rsid w:val="00F6143E"/>
    <w:rsid w:val="00F62472"/>
    <w:rsid w:val="00F667EC"/>
    <w:rsid w:val="00F670AB"/>
    <w:rsid w:val="00F671E3"/>
    <w:rsid w:val="00F67659"/>
    <w:rsid w:val="00F67A53"/>
    <w:rsid w:val="00F70E4E"/>
    <w:rsid w:val="00F712CE"/>
    <w:rsid w:val="00F71799"/>
    <w:rsid w:val="00F717D6"/>
    <w:rsid w:val="00F71F03"/>
    <w:rsid w:val="00F73AFA"/>
    <w:rsid w:val="00F74B65"/>
    <w:rsid w:val="00F74CC7"/>
    <w:rsid w:val="00F75998"/>
    <w:rsid w:val="00F76AC5"/>
    <w:rsid w:val="00F77CB9"/>
    <w:rsid w:val="00F77FA3"/>
    <w:rsid w:val="00F802FF"/>
    <w:rsid w:val="00F80E3C"/>
    <w:rsid w:val="00F83067"/>
    <w:rsid w:val="00F83509"/>
    <w:rsid w:val="00F84544"/>
    <w:rsid w:val="00F85E63"/>
    <w:rsid w:val="00F87411"/>
    <w:rsid w:val="00F87FF4"/>
    <w:rsid w:val="00F90340"/>
    <w:rsid w:val="00F91186"/>
    <w:rsid w:val="00F917D5"/>
    <w:rsid w:val="00F91BB5"/>
    <w:rsid w:val="00F91E33"/>
    <w:rsid w:val="00F92FA8"/>
    <w:rsid w:val="00F9420C"/>
    <w:rsid w:val="00F94ED5"/>
    <w:rsid w:val="00F954FA"/>
    <w:rsid w:val="00F958DB"/>
    <w:rsid w:val="00F95B1F"/>
    <w:rsid w:val="00F96C70"/>
    <w:rsid w:val="00F96CA1"/>
    <w:rsid w:val="00F979BC"/>
    <w:rsid w:val="00FA05B2"/>
    <w:rsid w:val="00FA0F56"/>
    <w:rsid w:val="00FA486B"/>
    <w:rsid w:val="00FA512A"/>
    <w:rsid w:val="00FA68A7"/>
    <w:rsid w:val="00FB2288"/>
    <w:rsid w:val="00FB2381"/>
    <w:rsid w:val="00FB3736"/>
    <w:rsid w:val="00FB4FB2"/>
    <w:rsid w:val="00FB5A10"/>
    <w:rsid w:val="00FB6E87"/>
    <w:rsid w:val="00FB6ED8"/>
    <w:rsid w:val="00FC0C51"/>
    <w:rsid w:val="00FC17FF"/>
    <w:rsid w:val="00FC1EEE"/>
    <w:rsid w:val="00FC2845"/>
    <w:rsid w:val="00FC2927"/>
    <w:rsid w:val="00FC2A64"/>
    <w:rsid w:val="00FC2F3D"/>
    <w:rsid w:val="00FC3683"/>
    <w:rsid w:val="00FC3E7F"/>
    <w:rsid w:val="00FC4994"/>
    <w:rsid w:val="00FC5786"/>
    <w:rsid w:val="00FC5AA2"/>
    <w:rsid w:val="00FC6848"/>
    <w:rsid w:val="00FD01A7"/>
    <w:rsid w:val="00FD032B"/>
    <w:rsid w:val="00FD098F"/>
    <w:rsid w:val="00FD1563"/>
    <w:rsid w:val="00FD1AB5"/>
    <w:rsid w:val="00FD2A19"/>
    <w:rsid w:val="00FD2E7F"/>
    <w:rsid w:val="00FD427A"/>
    <w:rsid w:val="00FD4C2B"/>
    <w:rsid w:val="00FD5373"/>
    <w:rsid w:val="00FD5A41"/>
    <w:rsid w:val="00FD612C"/>
    <w:rsid w:val="00FD7480"/>
    <w:rsid w:val="00FE1714"/>
    <w:rsid w:val="00FE1B88"/>
    <w:rsid w:val="00FE1BAE"/>
    <w:rsid w:val="00FE3682"/>
    <w:rsid w:val="00FE3C18"/>
    <w:rsid w:val="00FE4F63"/>
    <w:rsid w:val="00FE5714"/>
    <w:rsid w:val="00FE59CF"/>
    <w:rsid w:val="00FE7B40"/>
    <w:rsid w:val="00FF01B7"/>
    <w:rsid w:val="00FF0D04"/>
    <w:rsid w:val="00FF0EE8"/>
    <w:rsid w:val="00FF2D72"/>
    <w:rsid w:val="00FF48C5"/>
    <w:rsid w:val="00FF5855"/>
    <w:rsid w:val="00FF66F1"/>
    <w:rsid w:val="00FF6CE6"/>
    <w:rsid w:val="00FF7B6B"/>
    <w:rsid w:val="0113665F"/>
    <w:rsid w:val="01266C5A"/>
    <w:rsid w:val="01B59F54"/>
    <w:rsid w:val="021E54CC"/>
    <w:rsid w:val="027410E2"/>
    <w:rsid w:val="03050937"/>
    <w:rsid w:val="03793D03"/>
    <w:rsid w:val="03828CF6"/>
    <w:rsid w:val="03B98252"/>
    <w:rsid w:val="03EB9D3E"/>
    <w:rsid w:val="0419B0C8"/>
    <w:rsid w:val="04F8BF3E"/>
    <w:rsid w:val="04FDBE29"/>
    <w:rsid w:val="0516D7C2"/>
    <w:rsid w:val="0523C05D"/>
    <w:rsid w:val="054380A1"/>
    <w:rsid w:val="05440A93"/>
    <w:rsid w:val="056B0122"/>
    <w:rsid w:val="05F66E07"/>
    <w:rsid w:val="0616BCA2"/>
    <w:rsid w:val="06487BBC"/>
    <w:rsid w:val="067A5FDC"/>
    <w:rsid w:val="069003ED"/>
    <w:rsid w:val="06EB8050"/>
    <w:rsid w:val="06F70495"/>
    <w:rsid w:val="07A14BCE"/>
    <w:rsid w:val="07A9BFD7"/>
    <w:rsid w:val="07B897AB"/>
    <w:rsid w:val="07C35323"/>
    <w:rsid w:val="07F8AEA4"/>
    <w:rsid w:val="080AD62B"/>
    <w:rsid w:val="083D3110"/>
    <w:rsid w:val="0843F4B8"/>
    <w:rsid w:val="0876EF66"/>
    <w:rsid w:val="089FA280"/>
    <w:rsid w:val="08D9F2B2"/>
    <w:rsid w:val="08E9B84E"/>
    <w:rsid w:val="0908E531"/>
    <w:rsid w:val="0946A3D0"/>
    <w:rsid w:val="09B4105A"/>
    <w:rsid w:val="0A07C6EB"/>
    <w:rsid w:val="0A2B5BAC"/>
    <w:rsid w:val="0AB0F9B0"/>
    <w:rsid w:val="0AD69601"/>
    <w:rsid w:val="0AFE0B5C"/>
    <w:rsid w:val="0B2DB440"/>
    <w:rsid w:val="0BCECFAF"/>
    <w:rsid w:val="0C3A5037"/>
    <w:rsid w:val="0C508D51"/>
    <w:rsid w:val="0C57F1CE"/>
    <w:rsid w:val="0C7B26FE"/>
    <w:rsid w:val="0C8A9FE6"/>
    <w:rsid w:val="0CBF23DC"/>
    <w:rsid w:val="0CFD19C7"/>
    <w:rsid w:val="0D056217"/>
    <w:rsid w:val="0D2A00CC"/>
    <w:rsid w:val="0D729887"/>
    <w:rsid w:val="0D8DFC84"/>
    <w:rsid w:val="0E48A482"/>
    <w:rsid w:val="0E5EC037"/>
    <w:rsid w:val="0EF5DA0A"/>
    <w:rsid w:val="0F1F6210"/>
    <w:rsid w:val="0F20332A"/>
    <w:rsid w:val="0F323B51"/>
    <w:rsid w:val="0FA4EC36"/>
    <w:rsid w:val="0FAB77DE"/>
    <w:rsid w:val="0FCABE9F"/>
    <w:rsid w:val="10329C3B"/>
    <w:rsid w:val="10493B8F"/>
    <w:rsid w:val="1054CF19"/>
    <w:rsid w:val="105E7F29"/>
    <w:rsid w:val="107667A5"/>
    <w:rsid w:val="10A2C93E"/>
    <w:rsid w:val="10C9D920"/>
    <w:rsid w:val="111CBEF8"/>
    <w:rsid w:val="11224D9D"/>
    <w:rsid w:val="11257276"/>
    <w:rsid w:val="1155AAEB"/>
    <w:rsid w:val="11953310"/>
    <w:rsid w:val="121E3FD1"/>
    <w:rsid w:val="123BC322"/>
    <w:rsid w:val="126A13D8"/>
    <w:rsid w:val="12C09F19"/>
    <w:rsid w:val="12E7B7F1"/>
    <w:rsid w:val="1369B533"/>
    <w:rsid w:val="13958C64"/>
    <w:rsid w:val="13C50BD2"/>
    <w:rsid w:val="13CBC5C0"/>
    <w:rsid w:val="1406216A"/>
    <w:rsid w:val="141C9E0B"/>
    <w:rsid w:val="1494E739"/>
    <w:rsid w:val="14B29617"/>
    <w:rsid w:val="1507BDC9"/>
    <w:rsid w:val="15144D66"/>
    <w:rsid w:val="1515B446"/>
    <w:rsid w:val="155B22B9"/>
    <w:rsid w:val="15A82427"/>
    <w:rsid w:val="15F38D2D"/>
    <w:rsid w:val="1617ADE8"/>
    <w:rsid w:val="162F8DA3"/>
    <w:rsid w:val="1666AE5B"/>
    <w:rsid w:val="16874C18"/>
    <w:rsid w:val="16B0EF93"/>
    <w:rsid w:val="172DA0DA"/>
    <w:rsid w:val="178A62BF"/>
    <w:rsid w:val="18017902"/>
    <w:rsid w:val="183DF028"/>
    <w:rsid w:val="18630BCC"/>
    <w:rsid w:val="1875609D"/>
    <w:rsid w:val="1890003C"/>
    <w:rsid w:val="18BDF5FF"/>
    <w:rsid w:val="196586DC"/>
    <w:rsid w:val="19723A82"/>
    <w:rsid w:val="19AAB2B8"/>
    <w:rsid w:val="19B11F11"/>
    <w:rsid w:val="19B24828"/>
    <w:rsid w:val="1A95B6E1"/>
    <w:rsid w:val="1A99FACA"/>
    <w:rsid w:val="1AB64789"/>
    <w:rsid w:val="1AE56F3D"/>
    <w:rsid w:val="1B404CD3"/>
    <w:rsid w:val="1BFF3812"/>
    <w:rsid w:val="1C5843A2"/>
    <w:rsid w:val="1C84027D"/>
    <w:rsid w:val="1CD0284B"/>
    <w:rsid w:val="1CEF4EF8"/>
    <w:rsid w:val="1D58B71C"/>
    <w:rsid w:val="1D6701F9"/>
    <w:rsid w:val="1D70A442"/>
    <w:rsid w:val="1D7796DA"/>
    <w:rsid w:val="1DA873D0"/>
    <w:rsid w:val="1DE36460"/>
    <w:rsid w:val="1E7B78D4"/>
    <w:rsid w:val="1F25B295"/>
    <w:rsid w:val="1F960D20"/>
    <w:rsid w:val="1F978527"/>
    <w:rsid w:val="1FE928CC"/>
    <w:rsid w:val="2048077F"/>
    <w:rsid w:val="205D39AB"/>
    <w:rsid w:val="206E95F1"/>
    <w:rsid w:val="20953044"/>
    <w:rsid w:val="210206EE"/>
    <w:rsid w:val="218D9952"/>
    <w:rsid w:val="21A714AC"/>
    <w:rsid w:val="21DDA1CE"/>
    <w:rsid w:val="21FE7421"/>
    <w:rsid w:val="224A3CC7"/>
    <w:rsid w:val="224CBFBC"/>
    <w:rsid w:val="228202D3"/>
    <w:rsid w:val="22B01446"/>
    <w:rsid w:val="22BE425C"/>
    <w:rsid w:val="23491E7B"/>
    <w:rsid w:val="2350C45E"/>
    <w:rsid w:val="2363972B"/>
    <w:rsid w:val="23A5E6E8"/>
    <w:rsid w:val="23C3F807"/>
    <w:rsid w:val="2407F1F0"/>
    <w:rsid w:val="2422BC49"/>
    <w:rsid w:val="24865159"/>
    <w:rsid w:val="24A5439D"/>
    <w:rsid w:val="255BFC4C"/>
    <w:rsid w:val="2572494A"/>
    <w:rsid w:val="2592BCCE"/>
    <w:rsid w:val="25A67F81"/>
    <w:rsid w:val="25B4722A"/>
    <w:rsid w:val="25D0ACC9"/>
    <w:rsid w:val="25DC0FDD"/>
    <w:rsid w:val="267118CA"/>
    <w:rsid w:val="26A110BE"/>
    <w:rsid w:val="2704AB3E"/>
    <w:rsid w:val="27310478"/>
    <w:rsid w:val="2807B6DE"/>
    <w:rsid w:val="282FECBE"/>
    <w:rsid w:val="2861B07E"/>
    <w:rsid w:val="2887373C"/>
    <w:rsid w:val="28A11397"/>
    <w:rsid w:val="28D482D0"/>
    <w:rsid w:val="28E91BA5"/>
    <w:rsid w:val="28F09320"/>
    <w:rsid w:val="28F4FF19"/>
    <w:rsid w:val="291F5524"/>
    <w:rsid w:val="2958EE8C"/>
    <w:rsid w:val="2965C9C3"/>
    <w:rsid w:val="2A4775AC"/>
    <w:rsid w:val="2A69F809"/>
    <w:rsid w:val="2A703152"/>
    <w:rsid w:val="2AD2E2DA"/>
    <w:rsid w:val="2B09476B"/>
    <w:rsid w:val="2B1BDC19"/>
    <w:rsid w:val="2B375EF5"/>
    <w:rsid w:val="2B634D80"/>
    <w:rsid w:val="2B7C79FA"/>
    <w:rsid w:val="2BAF37F3"/>
    <w:rsid w:val="2BB629BD"/>
    <w:rsid w:val="2BC19F97"/>
    <w:rsid w:val="2BC32D95"/>
    <w:rsid w:val="2CC762AF"/>
    <w:rsid w:val="2D1154D5"/>
    <w:rsid w:val="2D34BB4A"/>
    <w:rsid w:val="2D755768"/>
    <w:rsid w:val="2DDE5B4F"/>
    <w:rsid w:val="2E05A46B"/>
    <w:rsid w:val="2E592FF4"/>
    <w:rsid w:val="2EB8CED0"/>
    <w:rsid w:val="2F077733"/>
    <w:rsid w:val="2F1F5D5A"/>
    <w:rsid w:val="2F64B717"/>
    <w:rsid w:val="2F832C10"/>
    <w:rsid w:val="2F91925D"/>
    <w:rsid w:val="2F97870F"/>
    <w:rsid w:val="30298DDD"/>
    <w:rsid w:val="30822A52"/>
    <w:rsid w:val="30AE2328"/>
    <w:rsid w:val="30CC31EF"/>
    <w:rsid w:val="30FFB1A4"/>
    <w:rsid w:val="3149AFAD"/>
    <w:rsid w:val="315143B1"/>
    <w:rsid w:val="317FD3AE"/>
    <w:rsid w:val="31D22B26"/>
    <w:rsid w:val="31DE3BE2"/>
    <w:rsid w:val="324882F6"/>
    <w:rsid w:val="32991271"/>
    <w:rsid w:val="329B24A6"/>
    <w:rsid w:val="32B71B22"/>
    <w:rsid w:val="32C24336"/>
    <w:rsid w:val="32FB89D0"/>
    <w:rsid w:val="3307EDA1"/>
    <w:rsid w:val="3338506F"/>
    <w:rsid w:val="33A5F925"/>
    <w:rsid w:val="33C24340"/>
    <w:rsid w:val="346A647B"/>
    <w:rsid w:val="34A25109"/>
    <w:rsid w:val="34F2703F"/>
    <w:rsid w:val="35028F1E"/>
    <w:rsid w:val="351084CD"/>
    <w:rsid w:val="356AB59C"/>
    <w:rsid w:val="358B73C8"/>
    <w:rsid w:val="35EED1E2"/>
    <w:rsid w:val="3601C153"/>
    <w:rsid w:val="36224DA0"/>
    <w:rsid w:val="363E4AC4"/>
    <w:rsid w:val="3643F110"/>
    <w:rsid w:val="3652EE37"/>
    <w:rsid w:val="369AFD08"/>
    <w:rsid w:val="36BC8F7E"/>
    <w:rsid w:val="3718ADF7"/>
    <w:rsid w:val="3736737C"/>
    <w:rsid w:val="373DF062"/>
    <w:rsid w:val="374A44E1"/>
    <w:rsid w:val="37761FE2"/>
    <w:rsid w:val="37FDE577"/>
    <w:rsid w:val="382171C1"/>
    <w:rsid w:val="38B6F014"/>
    <w:rsid w:val="38F6E36F"/>
    <w:rsid w:val="3929B1D2"/>
    <w:rsid w:val="39A3C181"/>
    <w:rsid w:val="39A8B9C7"/>
    <w:rsid w:val="3A239490"/>
    <w:rsid w:val="3A2F0767"/>
    <w:rsid w:val="3A36A9CD"/>
    <w:rsid w:val="3A4D8FB3"/>
    <w:rsid w:val="3A584EEC"/>
    <w:rsid w:val="3A6A87C0"/>
    <w:rsid w:val="3A88CED9"/>
    <w:rsid w:val="3A96C9FA"/>
    <w:rsid w:val="3A9AAAC7"/>
    <w:rsid w:val="3B63DFA2"/>
    <w:rsid w:val="3BB74ECC"/>
    <w:rsid w:val="3BDA7EA0"/>
    <w:rsid w:val="3C6CFF79"/>
    <w:rsid w:val="3C6D3CC5"/>
    <w:rsid w:val="3C78990C"/>
    <w:rsid w:val="3C9C12C7"/>
    <w:rsid w:val="3CE4F2FD"/>
    <w:rsid w:val="3DB43555"/>
    <w:rsid w:val="3E38A672"/>
    <w:rsid w:val="3E489A43"/>
    <w:rsid w:val="3E534AF6"/>
    <w:rsid w:val="3E8A207E"/>
    <w:rsid w:val="3F020DF0"/>
    <w:rsid w:val="3F2483BC"/>
    <w:rsid w:val="3F24F43D"/>
    <w:rsid w:val="3F7C9341"/>
    <w:rsid w:val="400BC70D"/>
    <w:rsid w:val="405C286C"/>
    <w:rsid w:val="405C6981"/>
    <w:rsid w:val="4074DE45"/>
    <w:rsid w:val="4116CD91"/>
    <w:rsid w:val="41E84156"/>
    <w:rsid w:val="41EAC6CF"/>
    <w:rsid w:val="42130B06"/>
    <w:rsid w:val="42C5538D"/>
    <w:rsid w:val="42EE6327"/>
    <w:rsid w:val="431C343A"/>
    <w:rsid w:val="434F8433"/>
    <w:rsid w:val="4377FECF"/>
    <w:rsid w:val="43D614FD"/>
    <w:rsid w:val="445ADF11"/>
    <w:rsid w:val="445E4E13"/>
    <w:rsid w:val="44A69728"/>
    <w:rsid w:val="44DABFAC"/>
    <w:rsid w:val="44E4A5CF"/>
    <w:rsid w:val="45089ABE"/>
    <w:rsid w:val="45272437"/>
    <w:rsid w:val="452CEEF6"/>
    <w:rsid w:val="4550601A"/>
    <w:rsid w:val="45540B35"/>
    <w:rsid w:val="4578801A"/>
    <w:rsid w:val="45F2C948"/>
    <w:rsid w:val="461EBFE7"/>
    <w:rsid w:val="46D384BB"/>
    <w:rsid w:val="46E01103"/>
    <w:rsid w:val="47168C1E"/>
    <w:rsid w:val="474AC090"/>
    <w:rsid w:val="475CF95D"/>
    <w:rsid w:val="47B34DD1"/>
    <w:rsid w:val="47FBA77A"/>
    <w:rsid w:val="4865E182"/>
    <w:rsid w:val="48816E00"/>
    <w:rsid w:val="48D3591C"/>
    <w:rsid w:val="48F69A05"/>
    <w:rsid w:val="495A68B9"/>
    <w:rsid w:val="49A79416"/>
    <w:rsid w:val="49CA5ED9"/>
    <w:rsid w:val="4A8F3265"/>
    <w:rsid w:val="4AB9B710"/>
    <w:rsid w:val="4AC0B14E"/>
    <w:rsid w:val="4ACF00E5"/>
    <w:rsid w:val="4AF5D4EF"/>
    <w:rsid w:val="4B241D39"/>
    <w:rsid w:val="4B2D82F0"/>
    <w:rsid w:val="4B8599B0"/>
    <w:rsid w:val="4BE86C5B"/>
    <w:rsid w:val="4BF2B548"/>
    <w:rsid w:val="4C3247FD"/>
    <w:rsid w:val="4C4F3266"/>
    <w:rsid w:val="4C54D871"/>
    <w:rsid w:val="4C7B5FB6"/>
    <w:rsid w:val="4CC5B0B8"/>
    <w:rsid w:val="4CC81091"/>
    <w:rsid w:val="4CD0A5AA"/>
    <w:rsid w:val="4D22E593"/>
    <w:rsid w:val="4D628B9F"/>
    <w:rsid w:val="4DAECD98"/>
    <w:rsid w:val="4E4BA6EB"/>
    <w:rsid w:val="4E9FF362"/>
    <w:rsid w:val="4ECDB0D5"/>
    <w:rsid w:val="4F56CDD1"/>
    <w:rsid w:val="4F964228"/>
    <w:rsid w:val="4FB83023"/>
    <w:rsid w:val="4FC5FE72"/>
    <w:rsid w:val="4FCD815C"/>
    <w:rsid w:val="4FCFCC4C"/>
    <w:rsid w:val="4FF33C5D"/>
    <w:rsid w:val="5001CB33"/>
    <w:rsid w:val="501E82D1"/>
    <w:rsid w:val="50396172"/>
    <w:rsid w:val="50F5A200"/>
    <w:rsid w:val="510D1430"/>
    <w:rsid w:val="513B0804"/>
    <w:rsid w:val="5156FAFC"/>
    <w:rsid w:val="5167691B"/>
    <w:rsid w:val="5174CC64"/>
    <w:rsid w:val="5185060B"/>
    <w:rsid w:val="51ACEB2F"/>
    <w:rsid w:val="521E0152"/>
    <w:rsid w:val="522FD9A7"/>
    <w:rsid w:val="5254D1C4"/>
    <w:rsid w:val="525A7B79"/>
    <w:rsid w:val="526F341C"/>
    <w:rsid w:val="53246F04"/>
    <w:rsid w:val="5356C535"/>
    <w:rsid w:val="536C94F3"/>
    <w:rsid w:val="53783A29"/>
    <w:rsid w:val="539628CA"/>
    <w:rsid w:val="53B57592"/>
    <w:rsid w:val="53D8CDE9"/>
    <w:rsid w:val="5421FD00"/>
    <w:rsid w:val="544B7C62"/>
    <w:rsid w:val="545C310C"/>
    <w:rsid w:val="548F4C6D"/>
    <w:rsid w:val="54EBBC7D"/>
    <w:rsid w:val="555DD4B4"/>
    <w:rsid w:val="55984FAF"/>
    <w:rsid w:val="55A0A40A"/>
    <w:rsid w:val="5613E7DF"/>
    <w:rsid w:val="562A6220"/>
    <w:rsid w:val="5633C81A"/>
    <w:rsid w:val="56F3BE74"/>
    <w:rsid w:val="575BD5EC"/>
    <w:rsid w:val="575E3CFB"/>
    <w:rsid w:val="578F602D"/>
    <w:rsid w:val="57B6B50F"/>
    <w:rsid w:val="57B93C1B"/>
    <w:rsid w:val="581649E0"/>
    <w:rsid w:val="5838C8DB"/>
    <w:rsid w:val="5843D679"/>
    <w:rsid w:val="589FF839"/>
    <w:rsid w:val="59018EEF"/>
    <w:rsid w:val="592C3E59"/>
    <w:rsid w:val="598DAC9C"/>
    <w:rsid w:val="599FD2F0"/>
    <w:rsid w:val="59E0EE68"/>
    <w:rsid w:val="59F33A50"/>
    <w:rsid w:val="59FC3F08"/>
    <w:rsid w:val="5A34EC56"/>
    <w:rsid w:val="5A7DB1F1"/>
    <w:rsid w:val="5A921FB7"/>
    <w:rsid w:val="5AB954AF"/>
    <w:rsid w:val="5ABEFB0D"/>
    <w:rsid w:val="5AD5A7BA"/>
    <w:rsid w:val="5B0B333C"/>
    <w:rsid w:val="5B1BFD6B"/>
    <w:rsid w:val="5B2AC223"/>
    <w:rsid w:val="5B4CB9A7"/>
    <w:rsid w:val="5B4D4BCB"/>
    <w:rsid w:val="5B748B9B"/>
    <w:rsid w:val="5B854880"/>
    <w:rsid w:val="5B92455A"/>
    <w:rsid w:val="5C210D00"/>
    <w:rsid w:val="5C46FB35"/>
    <w:rsid w:val="5C4FEFD7"/>
    <w:rsid w:val="5CA36A67"/>
    <w:rsid w:val="5D0BF3DC"/>
    <w:rsid w:val="5D2C6B6C"/>
    <w:rsid w:val="5D41A230"/>
    <w:rsid w:val="5D4CE997"/>
    <w:rsid w:val="5D7BD07F"/>
    <w:rsid w:val="5DFD3A8C"/>
    <w:rsid w:val="5E117251"/>
    <w:rsid w:val="5E11928C"/>
    <w:rsid w:val="5E1967CF"/>
    <w:rsid w:val="5E5AFA3A"/>
    <w:rsid w:val="5EE7DA5E"/>
    <w:rsid w:val="5F0A8856"/>
    <w:rsid w:val="5F5E6DA1"/>
    <w:rsid w:val="5F841F0D"/>
    <w:rsid w:val="5F8A4EA9"/>
    <w:rsid w:val="5FA9D56B"/>
    <w:rsid w:val="5FB6F1D1"/>
    <w:rsid w:val="5FEF96CC"/>
    <w:rsid w:val="5FFD336E"/>
    <w:rsid w:val="603E7D49"/>
    <w:rsid w:val="6094AA5D"/>
    <w:rsid w:val="60BE47B2"/>
    <w:rsid w:val="60E02B7E"/>
    <w:rsid w:val="611431B4"/>
    <w:rsid w:val="6167A0AA"/>
    <w:rsid w:val="616A1A07"/>
    <w:rsid w:val="6176130C"/>
    <w:rsid w:val="61858A16"/>
    <w:rsid w:val="61AD4004"/>
    <w:rsid w:val="61B60830"/>
    <w:rsid w:val="61FFD640"/>
    <w:rsid w:val="6252B470"/>
    <w:rsid w:val="62755344"/>
    <w:rsid w:val="631164A4"/>
    <w:rsid w:val="6311B537"/>
    <w:rsid w:val="634253BC"/>
    <w:rsid w:val="63AC18EC"/>
    <w:rsid w:val="63C8A47B"/>
    <w:rsid w:val="63DCBA4E"/>
    <w:rsid w:val="6405AAE1"/>
    <w:rsid w:val="64558206"/>
    <w:rsid w:val="645D6F7D"/>
    <w:rsid w:val="64C08916"/>
    <w:rsid w:val="64E1A56F"/>
    <w:rsid w:val="64ECB6A2"/>
    <w:rsid w:val="654D7F84"/>
    <w:rsid w:val="65995A6A"/>
    <w:rsid w:val="65CD06DB"/>
    <w:rsid w:val="65F90887"/>
    <w:rsid w:val="661663F9"/>
    <w:rsid w:val="667C3CC9"/>
    <w:rsid w:val="6690B69B"/>
    <w:rsid w:val="6700A3B6"/>
    <w:rsid w:val="67284D56"/>
    <w:rsid w:val="672FF6D6"/>
    <w:rsid w:val="6778671E"/>
    <w:rsid w:val="679AA952"/>
    <w:rsid w:val="67B4437F"/>
    <w:rsid w:val="684942E8"/>
    <w:rsid w:val="689CA56A"/>
    <w:rsid w:val="68BC2CCD"/>
    <w:rsid w:val="68EBB1DE"/>
    <w:rsid w:val="6939218C"/>
    <w:rsid w:val="697B22BA"/>
    <w:rsid w:val="69C8720C"/>
    <w:rsid w:val="6A10E06B"/>
    <w:rsid w:val="6ADF2FD6"/>
    <w:rsid w:val="6AE03A29"/>
    <w:rsid w:val="6AFA5902"/>
    <w:rsid w:val="6BA8ED8B"/>
    <w:rsid w:val="6BEF0A42"/>
    <w:rsid w:val="6C212F65"/>
    <w:rsid w:val="6C9B2C49"/>
    <w:rsid w:val="6CA33FF3"/>
    <w:rsid w:val="6D131CAA"/>
    <w:rsid w:val="6D17AD93"/>
    <w:rsid w:val="6D37D066"/>
    <w:rsid w:val="6D4B937E"/>
    <w:rsid w:val="6D6045B2"/>
    <w:rsid w:val="6D73C32F"/>
    <w:rsid w:val="6DBD5A23"/>
    <w:rsid w:val="6DC0B897"/>
    <w:rsid w:val="6DD97DAF"/>
    <w:rsid w:val="6DEAD6B6"/>
    <w:rsid w:val="6DF0FC23"/>
    <w:rsid w:val="6E0F5D38"/>
    <w:rsid w:val="6E19F694"/>
    <w:rsid w:val="6E637A3D"/>
    <w:rsid w:val="6F02625F"/>
    <w:rsid w:val="6F7ADB4B"/>
    <w:rsid w:val="6FB20C8C"/>
    <w:rsid w:val="70310FEC"/>
    <w:rsid w:val="70360711"/>
    <w:rsid w:val="7062117A"/>
    <w:rsid w:val="70E9DB5E"/>
    <w:rsid w:val="70F0F22B"/>
    <w:rsid w:val="714C80C9"/>
    <w:rsid w:val="715AFDEC"/>
    <w:rsid w:val="715BD142"/>
    <w:rsid w:val="719D9E64"/>
    <w:rsid w:val="723CB99B"/>
    <w:rsid w:val="72655932"/>
    <w:rsid w:val="72982E87"/>
    <w:rsid w:val="72A6011B"/>
    <w:rsid w:val="72E03BE4"/>
    <w:rsid w:val="72EF8B9F"/>
    <w:rsid w:val="73A45CC9"/>
    <w:rsid w:val="73CA4428"/>
    <w:rsid w:val="7402B14E"/>
    <w:rsid w:val="746BEA9B"/>
    <w:rsid w:val="747D6600"/>
    <w:rsid w:val="74D4044D"/>
    <w:rsid w:val="74EFFD10"/>
    <w:rsid w:val="751791BE"/>
    <w:rsid w:val="7525F2F5"/>
    <w:rsid w:val="75452B5B"/>
    <w:rsid w:val="756B1B11"/>
    <w:rsid w:val="7575C5E0"/>
    <w:rsid w:val="75A9B1CA"/>
    <w:rsid w:val="768C0799"/>
    <w:rsid w:val="76A21368"/>
    <w:rsid w:val="76BB75C0"/>
    <w:rsid w:val="775BB150"/>
    <w:rsid w:val="7762ED25"/>
    <w:rsid w:val="77793F30"/>
    <w:rsid w:val="779944C7"/>
    <w:rsid w:val="78127255"/>
    <w:rsid w:val="78298434"/>
    <w:rsid w:val="787E625F"/>
    <w:rsid w:val="787FD987"/>
    <w:rsid w:val="792E5F3A"/>
    <w:rsid w:val="796D5E1A"/>
    <w:rsid w:val="7998CA06"/>
    <w:rsid w:val="79A6AC2D"/>
    <w:rsid w:val="79D65201"/>
    <w:rsid w:val="7ABDE267"/>
    <w:rsid w:val="7B07E788"/>
    <w:rsid w:val="7B160FC9"/>
    <w:rsid w:val="7B1928E7"/>
    <w:rsid w:val="7B22DE0B"/>
    <w:rsid w:val="7B4F1392"/>
    <w:rsid w:val="7BE0F424"/>
    <w:rsid w:val="7C07F11F"/>
    <w:rsid w:val="7C18E2EB"/>
    <w:rsid w:val="7C2F5F8F"/>
    <w:rsid w:val="7C6E3AA6"/>
    <w:rsid w:val="7C9042F7"/>
    <w:rsid w:val="7CB40055"/>
    <w:rsid w:val="7CD8099E"/>
    <w:rsid w:val="7CEC6BEE"/>
    <w:rsid w:val="7CF73665"/>
    <w:rsid w:val="7D2AA975"/>
    <w:rsid w:val="7D3B0819"/>
    <w:rsid w:val="7DBF1884"/>
    <w:rsid w:val="7E8AB357"/>
    <w:rsid w:val="7EECEF64"/>
    <w:rsid w:val="7F477BE2"/>
    <w:rsid w:val="7F7B582C"/>
    <w:rsid w:val="7FBC2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4C4DA988"/>
  <w15:docId w15:val="{68030113-4A6F-4DB2-8C68-7794DC76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A5684"/>
    <w:pPr>
      <w:spacing w:after="240" w:line="288" w:lineRule="auto"/>
    </w:pPr>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Bullet Style,Dot pt,No Spacing1,List Paragraph Char Char Char,Indicator Text,List Paragraph1,Numbered Para 1,Bullet 1,List Paragraph12,F5 List Paragraph,Bullet Points,MAIN CONTENT,Colorful List - Accent 11,Normal numbered,List Paragraph2"/>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755882"/>
    <w:pPr>
      <w:spacing w:before="120"/>
      <w:jc w:val="center"/>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20"/>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uiPriority w:val="99"/>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uiPriority w:val="22"/>
    <w:unhideWhenUsed/>
    <w:qFormat/>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ind w:left="0" w:firstLine="0"/>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normaltextrun">
    <w:name w:val="normaltextrun"/>
    <w:basedOn w:val="DefaultParagraphFont"/>
    <w:rsid w:val="00B02BB2"/>
  </w:style>
  <w:style w:type="character" w:styleId="Mention">
    <w:name w:val="Mention"/>
    <w:basedOn w:val="DefaultParagraphFont"/>
    <w:uiPriority w:val="99"/>
    <w:unhideWhenUsed/>
    <w:rsid w:val="004529A0"/>
    <w:rPr>
      <w:color w:val="2B579A"/>
      <w:shd w:val="clear" w:color="auto" w:fill="E1DFDD"/>
    </w:rPr>
  </w:style>
  <w:style w:type="character" w:customStyle="1" w:styleId="ListParagraphChar">
    <w:name w:val="List Paragraph Char"/>
    <w:aliases w:val="Bullet Style Char,Dot pt Char,No Spacing1 Char,List Paragraph Char Char Char Char,Indicator Text Char,List Paragraph1 Char,Numbered Para 1 Char,Bullet 1 Char,List Paragraph12 Char,F5 List Paragraph Char,Bullet Points Char"/>
    <w:link w:val="ListParagraph"/>
    <w:uiPriority w:val="34"/>
    <w:qFormat/>
    <w:locked/>
    <w:rsid w:val="003433DC"/>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077">
      <w:bodyDiv w:val="1"/>
      <w:marLeft w:val="0"/>
      <w:marRight w:val="0"/>
      <w:marTop w:val="0"/>
      <w:marBottom w:val="0"/>
      <w:divBdr>
        <w:top w:val="none" w:sz="0" w:space="0" w:color="auto"/>
        <w:left w:val="none" w:sz="0" w:space="0" w:color="auto"/>
        <w:bottom w:val="none" w:sz="0" w:space="0" w:color="auto"/>
        <w:right w:val="none" w:sz="0" w:space="0" w:color="auto"/>
      </w:divBdr>
    </w:div>
    <w:div w:id="21441355">
      <w:bodyDiv w:val="1"/>
      <w:marLeft w:val="0"/>
      <w:marRight w:val="0"/>
      <w:marTop w:val="0"/>
      <w:marBottom w:val="0"/>
      <w:divBdr>
        <w:top w:val="none" w:sz="0" w:space="0" w:color="auto"/>
        <w:left w:val="none" w:sz="0" w:space="0" w:color="auto"/>
        <w:bottom w:val="none" w:sz="0" w:space="0" w:color="auto"/>
        <w:right w:val="none" w:sz="0" w:space="0" w:color="auto"/>
      </w:divBdr>
    </w:div>
    <w:div w:id="36442187">
      <w:bodyDiv w:val="1"/>
      <w:marLeft w:val="0"/>
      <w:marRight w:val="0"/>
      <w:marTop w:val="0"/>
      <w:marBottom w:val="0"/>
      <w:divBdr>
        <w:top w:val="none" w:sz="0" w:space="0" w:color="auto"/>
        <w:left w:val="none" w:sz="0" w:space="0" w:color="auto"/>
        <w:bottom w:val="none" w:sz="0" w:space="0" w:color="auto"/>
        <w:right w:val="none" w:sz="0" w:space="0" w:color="auto"/>
      </w:divBdr>
    </w:div>
    <w:div w:id="71389097">
      <w:bodyDiv w:val="1"/>
      <w:marLeft w:val="0"/>
      <w:marRight w:val="0"/>
      <w:marTop w:val="0"/>
      <w:marBottom w:val="0"/>
      <w:divBdr>
        <w:top w:val="none" w:sz="0" w:space="0" w:color="auto"/>
        <w:left w:val="none" w:sz="0" w:space="0" w:color="auto"/>
        <w:bottom w:val="none" w:sz="0" w:space="0" w:color="auto"/>
        <w:right w:val="none" w:sz="0" w:space="0" w:color="auto"/>
      </w:divBdr>
    </w:div>
    <w:div w:id="81605694">
      <w:bodyDiv w:val="1"/>
      <w:marLeft w:val="0"/>
      <w:marRight w:val="0"/>
      <w:marTop w:val="0"/>
      <w:marBottom w:val="0"/>
      <w:divBdr>
        <w:top w:val="none" w:sz="0" w:space="0" w:color="auto"/>
        <w:left w:val="none" w:sz="0" w:space="0" w:color="auto"/>
        <w:bottom w:val="none" w:sz="0" w:space="0" w:color="auto"/>
        <w:right w:val="none" w:sz="0" w:space="0" w:color="auto"/>
      </w:divBdr>
      <w:divsChild>
        <w:div w:id="1148208133">
          <w:marLeft w:val="0"/>
          <w:marRight w:val="0"/>
          <w:marTop w:val="0"/>
          <w:marBottom w:val="0"/>
          <w:divBdr>
            <w:top w:val="none" w:sz="0" w:space="0" w:color="auto"/>
            <w:left w:val="none" w:sz="0" w:space="0" w:color="auto"/>
            <w:bottom w:val="none" w:sz="0" w:space="0" w:color="auto"/>
            <w:right w:val="none" w:sz="0" w:space="0" w:color="auto"/>
          </w:divBdr>
        </w:div>
      </w:divsChild>
    </w:div>
    <w:div w:id="83302461">
      <w:bodyDiv w:val="1"/>
      <w:marLeft w:val="0"/>
      <w:marRight w:val="0"/>
      <w:marTop w:val="0"/>
      <w:marBottom w:val="0"/>
      <w:divBdr>
        <w:top w:val="none" w:sz="0" w:space="0" w:color="auto"/>
        <w:left w:val="none" w:sz="0" w:space="0" w:color="auto"/>
        <w:bottom w:val="none" w:sz="0" w:space="0" w:color="auto"/>
        <w:right w:val="none" w:sz="0" w:space="0" w:color="auto"/>
      </w:divBdr>
    </w:div>
    <w:div w:id="99566534">
      <w:bodyDiv w:val="1"/>
      <w:marLeft w:val="0"/>
      <w:marRight w:val="0"/>
      <w:marTop w:val="0"/>
      <w:marBottom w:val="0"/>
      <w:divBdr>
        <w:top w:val="none" w:sz="0" w:space="0" w:color="auto"/>
        <w:left w:val="none" w:sz="0" w:space="0" w:color="auto"/>
        <w:bottom w:val="none" w:sz="0" w:space="0" w:color="auto"/>
        <w:right w:val="none" w:sz="0" w:space="0" w:color="auto"/>
      </w:divBdr>
    </w:div>
    <w:div w:id="121003013">
      <w:bodyDiv w:val="1"/>
      <w:marLeft w:val="0"/>
      <w:marRight w:val="0"/>
      <w:marTop w:val="0"/>
      <w:marBottom w:val="0"/>
      <w:divBdr>
        <w:top w:val="none" w:sz="0" w:space="0" w:color="auto"/>
        <w:left w:val="none" w:sz="0" w:space="0" w:color="auto"/>
        <w:bottom w:val="none" w:sz="0" w:space="0" w:color="auto"/>
        <w:right w:val="none" w:sz="0" w:space="0" w:color="auto"/>
      </w:divBdr>
      <w:divsChild>
        <w:div w:id="1928074412">
          <w:marLeft w:val="0"/>
          <w:marRight w:val="0"/>
          <w:marTop w:val="0"/>
          <w:marBottom w:val="0"/>
          <w:divBdr>
            <w:top w:val="none" w:sz="0" w:space="0" w:color="auto"/>
            <w:left w:val="none" w:sz="0" w:space="0" w:color="auto"/>
            <w:bottom w:val="none" w:sz="0" w:space="0" w:color="auto"/>
            <w:right w:val="none" w:sz="0" w:space="0" w:color="auto"/>
          </w:divBdr>
        </w:div>
      </w:divsChild>
    </w:div>
    <w:div w:id="179976251">
      <w:bodyDiv w:val="1"/>
      <w:marLeft w:val="0"/>
      <w:marRight w:val="0"/>
      <w:marTop w:val="0"/>
      <w:marBottom w:val="0"/>
      <w:divBdr>
        <w:top w:val="none" w:sz="0" w:space="0" w:color="auto"/>
        <w:left w:val="none" w:sz="0" w:space="0" w:color="auto"/>
        <w:bottom w:val="none" w:sz="0" w:space="0" w:color="auto"/>
        <w:right w:val="none" w:sz="0" w:space="0" w:color="auto"/>
      </w:divBdr>
      <w:divsChild>
        <w:div w:id="995182040">
          <w:marLeft w:val="0"/>
          <w:marRight w:val="0"/>
          <w:marTop w:val="0"/>
          <w:marBottom w:val="0"/>
          <w:divBdr>
            <w:top w:val="none" w:sz="0" w:space="0" w:color="auto"/>
            <w:left w:val="none" w:sz="0" w:space="0" w:color="auto"/>
            <w:bottom w:val="none" w:sz="0" w:space="0" w:color="auto"/>
            <w:right w:val="none" w:sz="0" w:space="0" w:color="auto"/>
          </w:divBdr>
        </w:div>
      </w:divsChild>
    </w:div>
    <w:div w:id="196351808">
      <w:bodyDiv w:val="1"/>
      <w:marLeft w:val="0"/>
      <w:marRight w:val="0"/>
      <w:marTop w:val="0"/>
      <w:marBottom w:val="0"/>
      <w:divBdr>
        <w:top w:val="none" w:sz="0" w:space="0" w:color="auto"/>
        <w:left w:val="none" w:sz="0" w:space="0" w:color="auto"/>
        <w:bottom w:val="none" w:sz="0" w:space="0" w:color="auto"/>
        <w:right w:val="none" w:sz="0" w:space="0" w:color="auto"/>
      </w:divBdr>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73051394">
      <w:bodyDiv w:val="1"/>
      <w:marLeft w:val="0"/>
      <w:marRight w:val="0"/>
      <w:marTop w:val="0"/>
      <w:marBottom w:val="0"/>
      <w:divBdr>
        <w:top w:val="none" w:sz="0" w:space="0" w:color="auto"/>
        <w:left w:val="none" w:sz="0" w:space="0" w:color="auto"/>
        <w:bottom w:val="none" w:sz="0" w:space="0" w:color="auto"/>
        <w:right w:val="none" w:sz="0" w:space="0" w:color="auto"/>
      </w:divBdr>
      <w:divsChild>
        <w:div w:id="441149371">
          <w:marLeft w:val="0"/>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46448996">
      <w:bodyDiv w:val="1"/>
      <w:marLeft w:val="0"/>
      <w:marRight w:val="0"/>
      <w:marTop w:val="0"/>
      <w:marBottom w:val="0"/>
      <w:divBdr>
        <w:top w:val="none" w:sz="0" w:space="0" w:color="auto"/>
        <w:left w:val="none" w:sz="0" w:space="0" w:color="auto"/>
        <w:bottom w:val="none" w:sz="0" w:space="0" w:color="auto"/>
        <w:right w:val="none" w:sz="0" w:space="0" w:color="auto"/>
      </w:divBdr>
    </w:div>
    <w:div w:id="445586574">
      <w:bodyDiv w:val="1"/>
      <w:marLeft w:val="0"/>
      <w:marRight w:val="0"/>
      <w:marTop w:val="0"/>
      <w:marBottom w:val="0"/>
      <w:divBdr>
        <w:top w:val="none" w:sz="0" w:space="0" w:color="auto"/>
        <w:left w:val="none" w:sz="0" w:space="0" w:color="auto"/>
        <w:bottom w:val="none" w:sz="0" w:space="0" w:color="auto"/>
        <w:right w:val="none" w:sz="0" w:space="0" w:color="auto"/>
      </w:divBdr>
    </w:div>
    <w:div w:id="465392802">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6290334">
      <w:bodyDiv w:val="1"/>
      <w:marLeft w:val="0"/>
      <w:marRight w:val="0"/>
      <w:marTop w:val="0"/>
      <w:marBottom w:val="0"/>
      <w:divBdr>
        <w:top w:val="none" w:sz="0" w:space="0" w:color="auto"/>
        <w:left w:val="none" w:sz="0" w:space="0" w:color="auto"/>
        <w:bottom w:val="none" w:sz="0" w:space="0" w:color="auto"/>
        <w:right w:val="none" w:sz="0" w:space="0" w:color="auto"/>
      </w:divBdr>
    </w:div>
    <w:div w:id="541016265">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51568190">
      <w:bodyDiv w:val="1"/>
      <w:marLeft w:val="0"/>
      <w:marRight w:val="0"/>
      <w:marTop w:val="0"/>
      <w:marBottom w:val="0"/>
      <w:divBdr>
        <w:top w:val="none" w:sz="0" w:space="0" w:color="auto"/>
        <w:left w:val="none" w:sz="0" w:space="0" w:color="auto"/>
        <w:bottom w:val="none" w:sz="0" w:space="0" w:color="auto"/>
        <w:right w:val="none" w:sz="0" w:space="0" w:color="auto"/>
      </w:divBdr>
      <w:divsChild>
        <w:div w:id="2125372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9844406">
      <w:bodyDiv w:val="1"/>
      <w:marLeft w:val="0"/>
      <w:marRight w:val="0"/>
      <w:marTop w:val="0"/>
      <w:marBottom w:val="0"/>
      <w:divBdr>
        <w:top w:val="none" w:sz="0" w:space="0" w:color="auto"/>
        <w:left w:val="none" w:sz="0" w:space="0" w:color="auto"/>
        <w:bottom w:val="none" w:sz="0" w:space="0" w:color="auto"/>
        <w:right w:val="none" w:sz="0" w:space="0" w:color="auto"/>
      </w:divBdr>
    </w:div>
    <w:div w:id="757142522">
      <w:bodyDiv w:val="1"/>
      <w:marLeft w:val="0"/>
      <w:marRight w:val="0"/>
      <w:marTop w:val="0"/>
      <w:marBottom w:val="0"/>
      <w:divBdr>
        <w:top w:val="none" w:sz="0" w:space="0" w:color="auto"/>
        <w:left w:val="none" w:sz="0" w:space="0" w:color="auto"/>
        <w:bottom w:val="none" w:sz="0" w:space="0" w:color="auto"/>
        <w:right w:val="none" w:sz="0" w:space="0" w:color="auto"/>
      </w:divBdr>
    </w:div>
    <w:div w:id="761221067">
      <w:bodyDiv w:val="1"/>
      <w:marLeft w:val="0"/>
      <w:marRight w:val="0"/>
      <w:marTop w:val="0"/>
      <w:marBottom w:val="0"/>
      <w:divBdr>
        <w:top w:val="none" w:sz="0" w:space="0" w:color="auto"/>
        <w:left w:val="none" w:sz="0" w:space="0" w:color="auto"/>
        <w:bottom w:val="none" w:sz="0" w:space="0" w:color="auto"/>
        <w:right w:val="none" w:sz="0" w:space="0" w:color="auto"/>
      </w:divBdr>
    </w:div>
    <w:div w:id="778186015">
      <w:bodyDiv w:val="1"/>
      <w:marLeft w:val="0"/>
      <w:marRight w:val="0"/>
      <w:marTop w:val="0"/>
      <w:marBottom w:val="0"/>
      <w:divBdr>
        <w:top w:val="none" w:sz="0" w:space="0" w:color="auto"/>
        <w:left w:val="none" w:sz="0" w:space="0" w:color="auto"/>
        <w:bottom w:val="none" w:sz="0" w:space="0" w:color="auto"/>
        <w:right w:val="none" w:sz="0" w:space="0" w:color="auto"/>
      </w:divBdr>
    </w:div>
    <w:div w:id="985937752">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6847257">
      <w:bodyDiv w:val="1"/>
      <w:marLeft w:val="0"/>
      <w:marRight w:val="0"/>
      <w:marTop w:val="0"/>
      <w:marBottom w:val="0"/>
      <w:divBdr>
        <w:top w:val="none" w:sz="0" w:space="0" w:color="auto"/>
        <w:left w:val="none" w:sz="0" w:space="0" w:color="auto"/>
        <w:bottom w:val="none" w:sz="0" w:space="0" w:color="auto"/>
        <w:right w:val="none" w:sz="0" w:space="0" w:color="auto"/>
      </w:divBdr>
    </w:div>
    <w:div w:id="1183859352">
      <w:bodyDiv w:val="1"/>
      <w:marLeft w:val="0"/>
      <w:marRight w:val="0"/>
      <w:marTop w:val="0"/>
      <w:marBottom w:val="0"/>
      <w:divBdr>
        <w:top w:val="none" w:sz="0" w:space="0" w:color="auto"/>
        <w:left w:val="none" w:sz="0" w:space="0" w:color="auto"/>
        <w:bottom w:val="none" w:sz="0" w:space="0" w:color="auto"/>
        <w:right w:val="none" w:sz="0" w:space="0" w:color="auto"/>
      </w:divBdr>
    </w:div>
    <w:div w:id="1256013659">
      <w:bodyDiv w:val="1"/>
      <w:marLeft w:val="0"/>
      <w:marRight w:val="0"/>
      <w:marTop w:val="0"/>
      <w:marBottom w:val="0"/>
      <w:divBdr>
        <w:top w:val="none" w:sz="0" w:space="0" w:color="auto"/>
        <w:left w:val="none" w:sz="0" w:space="0" w:color="auto"/>
        <w:bottom w:val="none" w:sz="0" w:space="0" w:color="auto"/>
        <w:right w:val="none" w:sz="0" w:space="0" w:color="auto"/>
      </w:divBdr>
    </w:div>
    <w:div w:id="1278832494">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5453016">
      <w:bodyDiv w:val="1"/>
      <w:marLeft w:val="0"/>
      <w:marRight w:val="0"/>
      <w:marTop w:val="0"/>
      <w:marBottom w:val="0"/>
      <w:divBdr>
        <w:top w:val="none" w:sz="0" w:space="0" w:color="auto"/>
        <w:left w:val="none" w:sz="0" w:space="0" w:color="auto"/>
        <w:bottom w:val="none" w:sz="0" w:space="0" w:color="auto"/>
        <w:right w:val="none" w:sz="0" w:space="0" w:color="auto"/>
      </w:divBdr>
    </w:div>
    <w:div w:id="1343512468">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09426390">
      <w:bodyDiv w:val="1"/>
      <w:marLeft w:val="0"/>
      <w:marRight w:val="0"/>
      <w:marTop w:val="0"/>
      <w:marBottom w:val="0"/>
      <w:divBdr>
        <w:top w:val="none" w:sz="0" w:space="0" w:color="auto"/>
        <w:left w:val="none" w:sz="0" w:space="0" w:color="auto"/>
        <w:bottom w:val="none" w:sz="0" w:space="0" w:color="auto"/>
        <w:right w:val="none" w:sz="0" w:space="0" w:color="auto"/>
      </w:divBdr>
    </w:div>
    <w:div w:id="1420179835">
      <w:bodyDiv w:val="1"/>
      <w:marLeft w:val="0"/>
      <w:marRight w:val="0"/>
      <w:marTop w:val="0"/>
      <w:marBottom w:val="0"/>
      <w:divBdr>
        <w:top w:val="none" w:sz="0" w:space="0" w:color="auto"/>
        <w:left w:val="none" w:sz="0" w:space="0" w:color="auto"/>
        <w:bottom w:val="none" w:sz="0" w:space="0" w:color="auto"/>
        <w:right w:val="none" w:sz="0" w:space="0" w:color="auto"/>
      </w:divBdr>
    </w:div>
    <w:div w:id="1474978488">
      <w:bodyDiv w:val="1"/>
      <w:marLeft w:val="0"/>
      <w:marRight w:val="0"/>
      <w:marTop w:val="0"/>
      <w:marBottom w:val="0"/>
      <w:divBdr>
        <w:top w:val="none" w:sz="0" w:space="0" w:color="auto"/>
        <w:left w:val="none" w:sz="0" w:space="0" w:color="auto"/>
        <w:bottom w:val="none" w:sz="0" w:space="0" w:color="auto"/>
        <w:right w:val="none" w:sz="0" w:space="0" w:color="auto"/>
      </w:divBdr>
    </w:div>
    <w:div w:id="1510409724">
      <w:bodyDiv w:val="1"/>
      <w:marLeft w:val="0"/>
      <w:marRight w:val="0"/>
      <w:marTop w:val="0"/>
      <w:marBottom w:val="0"/>
      <w:divBdr>
        <w:top w:val="none" w:sz="0" w:space="0" w:color="auto"/>
        <w:left w:val="none" w:sz="0" w:space="0" w:color="auto"/>
        <w:bottom w:val="none" w:sz="0" w:space="0" w:color="auto"/>
        <w:right w:val="none" w:sz="0" w:space="0" w:color="auto"/>
      </w:divBdr>
    </w:div>
    <w:div w:id="1550603661">
      <w:bodyDiv w:val="1"/>
      <w:marLeft w:val="0"/>
      <w:marRight w:val="0"/>
      <w:marTop w:val="0"/>
      <w:marBottom w:val="0"/>
      <w:divBdr>
        <w:top w:val="none" w:sz="0" w:space="0" w:color="auto"/>
        <w:left w:val="none" w:sz="0" w:space="0" w:color="auto"/>
        <w:bottom w:val="none" w:sz="0" w:space="0" w:color="auto"/>
        <w:right w:val="none" w:sz="0" w:space="0" w:color="auto"/>
      </w:divBdr>
    </w:div>
    <w:div w:id="1585071857">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256923">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32194464">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22388270">
      <w:bodyDiv w:val="1"/>
      <w:marLeft w:val="0"/>
      <w:marRight w:val="0"/>
      <w:marTop w:val="0"/>
      <w:marBottom w:val="0"/>
      <w:divBdr>
        <w:top w:val="none" w:sz="0" w:space="0" w:color="auto"/>
        <w:left w:val="none" w:sz="0" w:space="0" w:color="auto"/>
        <w:bottom w:val="none" w:sz="0" w:space="0" w:color="auto"/>
        <w:right w:val="none" w:sz="0" w:space="0" w:color="auto"/>
      </w:divBdr>
    </w:div>
    <w:div w:id="1865358137">
      <w:bodyDiv w:val="1"/>
      <w:marLeft w:val="0"/>
      <w:marRight w:val="0"/>
      <w:marTop w:val="0"/>
      <w:marBottom w:val="0"/>
      <w:divBdr>
        <w:top w:val="none" w:sz="0" w:space="0" w:color="auto"/>
        <w:left w:val="none" w:sz="0" w:space="0" w:color="auto"/>
        <w:bottom w:val="none" w:sz="0" w:space="0" w:color="auto"/>
        <w:right w:val="none" w:sz="0" w:space="0" w:color="auto"/>
      </w:divBdr>
    </w:div>
    <w:div w:id="1936480543">
      <w:bodyDiv w:val="1"/>
      <w:marLeft w:val="0"/>
      <w:marRight w:val="0"/>
      <w:marTop w:val="0"/>
      <w:marBottom w:val="0"/>
      <w:divBdr>
        <w:top w:val="none" w:sz="0" w:space="0" w:color="auto"/>
        <w:left w:val="none" w:sz="0" w:space="0" w:color="auto"/>
        <w:bottom w:val="none" w:sz="0" w:space="0" w:color="auto"/>
        <w:right w:val="none" w:sz="0" w:space="0" w:color="auto"/>
      </w:divBdr>
      <w:divsChild>
        <w:div w:id="896861834">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71666726">
      <w:bodyDiv w:val="1"/>
      <w:marLeft w:val="0"/>
      <w:marRight w:val="0"/>
      <w:marTop w:val="0"/>
      <w:marBottom w:val="0"/>
      <w:divBdr>
        <w:top w:val="none" w:sz="0" w:space="0" w:color="auto"/>
        <w:left w:val="none" w:sz="0" w:space="0" w:color="auto"/>
        <w:bottom w:val="none" w:sz="0" w:space="0" w:color="auto"/>
        <w:right w:val="none" w:sz="0" w:space="0" w:color="auto"/>
      </w:divBdr>
    </w:div>
    <w:div w:id="1977685115">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1959599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2A6ywhS84b" TargetMode="External"/><Relationship Id="rId18" Type="http://schemas.openxmlformats.org/officeDocument/2006/relationships/hyperlink" Target="https://doi.org/10.46756/sci.fsa.sjl259" TargetMode="External"/><Relationship Id="rId26" Type="http://schemas.openxmlformats.org/officeDocument/2006/relationships/hyperlink" Target="http://www.gov.uk/government/publications/consultation-principles-guidance" TargetMode="External"/><Relationship Id="rId39" Type="http://schemas.microsoft.com/office/2020/10/relationships/intelligence" Target="intelligence2.xml"/><Relationship Id="rId21" Type="http://schemas.openxmlformats.org/officeDocument/2006/relationships/hyperlink" Target="https://www.legislation.gov.uk/eur/2011/10/content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934750/food-and-feed-safety-and-hygiene-proposed-common-framework-command-paper-web-accessible.pdf" TargetMode="External"/><Relationship Id="rId25" Type="http://schemas.openxmlformats.org/officeDocument/2006/relationships/hyperlink" Target="https://www.food.gov.uk/about-us/privacy-notice-consultation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od.gov.uk/business-guidance/regulated-products/food-contact-materials-guidance" TargetMode="External"/><Relationship Id="rId20" Type="http://schemas.openxmlformats.org/officeDocument/2006/relationships/hyperlink" Target="https://www.legislation.gov.uk/eur/2004/1935/contents" TargetMode="External"/><Relationship Id="rId29" Type="http://schemas.openxmlformats.org/officeDocument/2006/relationships/hyperlink" Target="https://eur-lex.europa.eu/legal-content/EN/TXT/?uri=OJ:L_2024031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CM-BPA@food.gov.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ood.gov.uk/business-guidance/placing-a-regulated-product-on-the-market" TargetMode="External"/><Relationship Id="rId23" Type="http://schemas.openxmlformats.org/officeDocument/2006/relationships/hyperlink" Target="https://forms.office.com/e/2A6ywhS84b" TargetMode="External"/><Relationship Id="rId28" Type="http://schemas.openxmlformats.org/officeDocument/2006/relationships/hyperlink" Target="https://eur-lex.europa.eu/legal-content/EN/TXT/HTML/?uri=OJ:L_202403190"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ur-lex.europa.eu/eli/reg/2024/3190/oj/e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CM-BPA@food.gov.uk" TargetMode="External"/><Relationship Id="rId22" Type="http://schemas.openxmlformats.org/officeDocument/2006/relationships/hyperlink" Target="https://www.legislation.gov.uk/eur/2018/213" TargetMode="External"/><Relationship Id="rId27" Type="http://schemas.openxmlformats.org/officeDocument/2006/relationships/hyperlink" Target="https://cot.food.gov.uk/Position%20paper%20on%20bisphenol%20A" TargetMode="External"/><Relationship Id="rId30" Type="http://schemas.openxmlformats.org/officeDocument/2006/relationships/hyperlink" Target="https://eur-lex.europa.eu/legal-content/EN/TXT/PDF/?uri=OJ:L_202403190"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00948\OneDrive%20-%20Food%20Standards%20Agency\Desktop\Food%20Contact%20Materials\BPA\Consultation%20on%20the%20ban%20of%20BPA_2025%20V1.dotx" TargetMode="Externa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CA2337BB66A42AFCA88A0366F187B" ma:contentTypeVersion="17" ma:contentTypeDescription="Create a new document." ma:contentTypeScope="" ma:versionID="d97be62c325f02da090f778700379b43">
  <xsd:schema xmlns:xsd="http://www.w3.org/2001/XMLSchema" xmlns:xs="http://www.w3.org/2001/XMLSchema" xmlns:p="http://schemas.microsoft.com/office/2006/metadata/properties" xmlns:ns2="16996e5f-997d-4f38-ba89-2fc74e841248" xmlns:ns3="3e9cfa64-531d-457b-8c2e-2a89b30b3e90" xmlns:ns4="fcc2d163-a1f2-4a47-92e3-628c6c2cab2b" targetNamespace="http://schemas.microsoft.com/office/2006/metadata/properties" ma:root="true" ma:fieldsID="2d65c7f64930f78d927dbd0d709c1a22" ns2:_="" ns3:_="" ns4:_="">
    <xsd:import namespace="16996e5f-997d-4f38-ba89-2fc74e841248"/>
    <xsd:import namespace="3e9cfa64-531d-457b-8c2e-2a89b30b3e90"/>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96e5f-997d-4f38-ba89-2fc74e841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9cfa64-531d-457b-8c2e-2a89b30b3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5c55c6b-cc70-4e26-979c-1a488ab05d5a}" ma:internalName="TaxCatchAll" ma:showField="CatchAllData" ma:web="3e9cfa64-531d-457b-8c2e-2a89b30b3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cc2d163-a1f2-4a47-92e3-628c6c2cab2b" xsi:nil="true"/>
    <lcf76f155ced4ddcb4097134ff3c332f xmlns="16996e5f-997d-4f38-ba89-2fc74e841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AAE76-DBB0-41AC-8843-4AFD80EA5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96e5f-997d-4f38-ba89-2fc74e841248"/>
    <ds:schemaRef ds:uri="3e9cfa64-531d-457b-8c2e-2a89b30b3e90"/>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0A0B1ADB-5181-425A-9F7F-57CF3A7F2817}">
  <ds:schemaRefs>
    <ds:schemaRef ds:uri="http://schemas.openxmlformats.org/officeDocument/2006/bibliography"/>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 ds:uri="fcc2d163-a1f2-4a47-92e3-628c6c2cab2b"/>
    <ds:schemaRef ds:uri="16996e5f-997d-4f38-ba89-2fc74e841248"/>
  </ds:schemaRefs>
</ds:datastoreItem>
</file>

<file path=docMetadata/LabelInfo.xml><?xml version="1.0" encoding="utf-8"?>
<clbl:labelList xmlns:clbl="http://schemas.microsoft.com/office/2020/mipLabelMetadata">
  <clbl:label id="{9284bb2e-cdd1-4fd8-b7bf-65d10b7c0eca}"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Consultation on the ban of BPA_2025 V1.dotx</Template>
  <TotalTime>515</TotalTime>
  <Pages>1</Pages>
  <Words>5453</Words>
  <Characters>31088</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36469</CharactersWithSpaces>
  <SharedDoc>false</SharedDoc>
  <HLinks>
    <vt:vector size="228" baseType="variant">
      <vt:variant>
        <vt:i4>8323146</vt:i4>
      </vt:variant>
      <vt:variant>
        <vt:i4>174</vt:i4>
      </vt:variant>
      <vt:variant>
        <vt:i4>0</vt:i4>
      </vt:variant>
      <vt:variant>
        <vt:i4>5</vt:i4>
      </vt:variant>
      <vt:variant>
        <vt:lpwstr>https://eur-lex.europa.eu/legal-content/EN/TXT/PDF/?uri=OJ:L_202403190</vt:lpwstr>
      </vt:variant>
      <vt:variant>
        <vt:lpwstr/>
      </vt:variant>
      <vt:variant>
        <vt:i4>6881281</vt:i4>
      </vt:variant>
      <vt:variant>
        <vt:i4>171</vt:i4>
      </vt:variant>
      <vt:variant>
        <vt:i4>0</vt:i4>
      </vt:variant>
      <vt:variant>
        <vt:i4>5</vt:i4>
      </vt:variant>
      <vt:variant>
        <vt:lpwstr>https://eur-lex.europa.eu/legal-content/EN/TXT/?uri=OJ:L_202403190</vt:lpwstr>
      </vt:variant>
      <vt:variant>
        <vt:lpwstr/>
      </vt:variant>
      <vt:variant>
        <vt:i4>1835126</vt:i4>
      </vt:variant>
      <vt:variant>
        <vt:i4>168</vt:i4>
      </vt:variant>
      <vt:variant>
        <vt:i4>0</vt:i4>
      </vt:variant>
      <vt:variant>
        <vt:i4>5</vt:i4>
      </vt:variant>
      <vt:variant>
        <vt:lpwstr>https://eur-lex.europa.eu/legal-content/EN/TXT/HTML/?uri=OJ:L_202403190</vt:lpwstr>
      </vt:variant>
      <vt:variant>
        <vt:lpwstr/>
      </vt:variant>
      <vt:variant>
        <vt:i4>2031699</vt:i4>
      </vt:variant>
      <vt:variant>
        <vt:i4>165</vt:i4>
      </vt:variant>
      <vt:variant>
        <vt:i4>0</vt:i4>
      </vt:variant>
      <vt:variant>
        <vt:i4>5</vt:i4>
      </vt:variant>
      <vt:variant>
        <vt:lpwstr>https://cot.food.gov.uk/Position paper on bisphenol A</vt:lpwstr>
      </vt:variant>
      <vt:variant>
        <vt:lpwstr/>
      </vt:variant>
      <vt:variant>
        <vt:i4>6881403</vt:i4>
      </vt:variant>
      <vt:variant>
        <vt:i4>162</vt:i4>
      </vt:variant>
      <vt:variant>
        <vt:i4>0</vt:i4>
      </vt:variant>
      <vt:variant>
        <vt:i4>5</vt:i4>
      </vt:variant>
      <vt:variant>
        <vt:lpwstr>http://www.gov.uk/government/publications/consultation-principles-guidance</vt:lpwstr>
      </vt:variant>
      <vt:variant>
        <vt:lpwstr/>
      </vt:variant>
      <vt:variant>
        <vt:i4>131155</vt:i4>
      </vt:variant>
      <vt:variant>
        <vt:i4>159</vt:i4>
      </vt:variant>
      <vt:variant>
        <vt:i4>0</vt:i4>
      </vt:variant>
      <vt:variant>
        <vt:i4>5</vt:i4>
      </vt:variant>
      <vt:variant>
        <vt:lpwstr>https://www.food.gov.uk/about-us/privacy-notice-consultations</vt:lpwstr>
      </vt:variant>
      <vt:variant>
        <vt:lpwstr/>
      </vt:variant>
      <vt:variant>
        <vt:i4>6750299</vt:i4>
      </vt:variant>
      <vt:variant>
        <vt:i4>156</vt:i4>
      </vt:variant>
      <vt:variant>
        <vt:i4>0</vt:i4>
      </vt:variant>
      <vt:variant>
        <vt:i4>5</vt:i4>
      </vt:variant>
      <vt:variant>
        <vt:lpwstr>mailto:FCM-BPA@food.gov.uk</vt:lpwstr>
      </vt:variant>
      <vt:variant>
        <vt:lpwstr/>
      </vt:variant>
      <vt:variant>
        <vt:i4>524356</vt:i4>
      </vt:variant>
      <vt:variant>
        <vt:i4>153</vt:i4>
      </vt:variant>
      <vt:variant>
        <vt:i4>0</vt:i4>
      </vt:variant>
      <vt:variant>
        <vt:i4>5</vt:i4>
      </vt:variant>
      <vt:variant>
        <vt:lpwstr>https://forms.office.com/e/2A6ywhS84b</vt:lpwstr>
      </vt:variant>
      <vt:variant>
        <vt:lpwstr/>
      </vt:variant>
      <vt:variant>
        <vt:i4>3997813</vt:i4>
      </vt:variant>
      <vt:variant>
        <vt:i4>150</vt:i4>
      </vt:variant>
      <vt:variant>
        <vt:i4>0</vt:i4>
      </vt:variant>
      <vt:variant>
        <vt:i4>5</vt:i4>
      </vt:variant>
      <vt:variant>
        <vt:lpwstr>https://www.legislation.gov.uk/eur/2018/213</vt:lpwstr>
      </vt:variant>
      <vt:variant>
        <vt:lpwstr/>
      </vt:variant>
      <vt:variant>
        <vt:i4>2097189</vt:i4>
      </vt:variant>
      <vt:variant>
        <vt:i4>147</vt:i4>
      </vt:variant>
      <vt:variant>
        <vt:i4>0</vt:i4>
      </vt:variant>
      <vt:variant>
        <vt:i4>5</vt:i4>
      </vt:variant>
      <vt:variant>
        <vt:lpwstr>https://www.legislation.gov.uk/eur/2011/10/contents</vt:lpwstr>
      </vt:variant>
      <vt:variant>
        <vt:lpwstr/>
      </vt:variant>
      <vt:variant>
        <vt:i4>1900563</vt:i4>
      </vt:variant>
      <vt:variant>
        <vt:i4>144</vt:i4>
      </vt:variant>
      <vt:variant>
        <vt:i4>0</vt:i4>
      </vt:variant>
      <vt:variant>
        <vt:i4>5</vt:i4>
      </vt:variant>
      <vt:variant>
        <vt:lpwstr>https://www.legislation.gov.uk/eur/2004/1935/contents</vt:lpwstr>
      </vt:variant>
      <vt:variant>
        <vt:lpwstr/>
      </vt:variant>
      <vt:variant>
        <vt:i4>7536742</vt:i4>
      </vt:variant>
      <vt:variant>
        <vt:i4>141</vt:i4>
      </vt:variant>
      <vt:variant>
        <vt:i4>0</vt:i4>
      </vt:variant>
      <vt:variant>
        <vt:i4>5</vt:i4>
      </vt:variant>
      <vt:variant>
        <vt:lpwstr>https://eur-lex.europa.eu/eli/reg/2024/3190/oj/eng</vt:lpwstr>
      </vt:variant>
      <vt:variant>
        <vt:lpwstr/>
      </vt:variant>
      <vt:variant>
        <vt:i4>4128830</vt:i4>
      </vt:variant>
      <vt:variant>
        <vt:i4>138</vt:i4>
      </vt:variant>
      <vt:variant>
        <vt:i4>0</vt:i4>
      </vt:variant>
      <vt:variant>
        <vt:i4>5</vt:i4>
      </vt:variant>
      <vt:variant>
        <vt:lpwstr>https://doi.org/10.46756/sci.fsa.sjl259</vt:lpwstr>
      </vt:variant>
      <vt:variant>
        <vt:lpwstr/>
      </vt:variant>
      <vt:variant>
        <vt:i4>524341</vt:i4>
      </vt:variant>
      <vt:variant>
        <vt:i4>135</vt:i4>
      </vt:variant>
      <vt:variant>
        <vt:i4>0</vt:i4>
      </vt:variant>
      <vt:variant>
        <vt:i4>5</vt:i4>
      </vt:variant>
      <vt:variant>
        <vt:lpwstr>https://assets.publishing.service.gov.uk/government/uploads/system/uploads/attachment_data/file/934750/food-and-feed-safety-and-hygiene-proposed-common-framework-command-paper-web-accessible.pdf</vt:lpwstr>
      </vt:variant>
      <vt:variant>
        <vt:lpwstr/>
      </vt:variant>
      <vt:variant>
        <vt:i4>5832776</vt:i4>
      </vt:variant>
      <vt:variant>
        <vt:i4>132</vt:i4>
      </vt:variant>
      <vt:variant>
        <vt:i4>0</vt:i4>
      </vt:variant>
      <vt:variant>
        <vt:i4>5</vt:i4>
      </vt:variant>
      <vt:variant>
        <vt:lpwstr>https://www.food.gov.uk/business-guidance/regulated-products/food-contact-materials-guidance</vt:lpwstr>
      </vt:variant>
      <vt:variant>
        <vt:lpwstr/>
      </vt:variant>
      <vt:variant>
        <vt:i4>2359410</vt:i4>
      </vt:variant>
      <vt:variant>
        <vt:i4>129</vt:i4>
      </vt:variant>
      <vt:variant>
        <vt:i4>0</vt:i4>
      </vt:variant>
      <vt:variant>
        <vt:i4>5</vt:i4>
      </vt:variant>
      <vt:variant>
        <vt:lpwstr>https://www.food.gov.uk/business-guidance/placing-a-regulated-product-on-the-market</vt:lpwstr>
      </vt:variant>
      <vt:variant>
        <vt:lpwstr/>
      </vt:variant>
      <vt:variant>
        <vt:i4>1310769</vt:i4>
      </vt:variant>
      <vt:variant>
        <vt:i4>122</vt:i4>
      </vt:variant>
      <vt:variant>
        <vt:i4>0</vt:i4>
      </vt:variant>
      <vt:variant>
        <vt:i4>5</vt:i4>
      </vt:variant>
      <vt:variant>
        <vt:lpwstr/>
      </vt:variant>
      <vt:variant>
        <vt:lpwstr>_Toc210141727</vt:lpwstr>
      </vt:variant>
      <vt:variant>
        <vt:i4>1310769</vt:i4>
      </vt:variant>
      <vt:variant>
        <vt:i4>116</vt:i4>
      </vt:variant>
      <vt:variant>
        <vt:i4>0</vt:i4>
      </vt:variant>
      <vt:variant>
        <vt:i4>5</vt:i4>
      </vt:variant>
      <vt:variant>
        <vt:lpwstr/>
      </vt:variant>
      <vt:variant>
        <vt:lpwstr>_Toc210141726</vt:lpwstr>
      </vt:variant>
      <vt:variant>
        <vt:i4>1310769</vt:i4>
      </vt:variant>
      <vt:variant>
        <vt:i4>110</vt:i4>
      </vt:variant>
      <vt:variant>
        <vt:i4>0</vt:i4>
      </vt:variant>
      <vt:variant>
        <vt:i4>5</vt:i4>
      </vt:variant>
      <vt:variant>
        <vt:lpwstr/>
      </vt:variant>
      <vt:variant>
        <vt:lpwstr>_Toc210141725</vt:lpwstr>
      </vt:variant>
      <vt:variant>
        <vt:i4>1310769</vt:i4>
      </vt:variant>
      <vt:variant>
        <vt:i4>104</vt:i4>
      </vt:variant>
      <vt:variant>
        <vt:i4>0</vt:i4>
      </vt:variant>
      <vt:variant>
        <vt:i4>5</vt:i4>
      </vt:variant>
      <vt:variant>
        <vt:lpwstr/>
      </vt:variant>
      <vt:variant>
        <vt:lpwstr>_Toc210141724</vt:lpwstr>
      </vt:variant>
      <vt:variant>
        <vt:i4>1310769</vt:i4>
      </vt:variant>
      <vt:variant>
        <vt:i4>98</vt:i4>
      </vt:variant>
      <vt:variant>
        <vt:i4>0</vt:i4>
      </vt:variant>
      <vt:variant>
        <vt:i4>5</vt:i4>
      </vt:variant>
      <vt:variant>
        <vt:lpwstr/>
      </vt:variant>
      <vt:variant>
        <vt:lpwstr>_Toc210141723</vt:lpwstr>
      </vt:variant>
      <vt:variant>
        <vt:i4>1310769</vt:i4>
      </vt:variant>
      <vt:variant>
        <vt:i4>92</vt:i4>
      </vt:variant>
      <vt:variant>
        <vt:i4>0</vt:i4>
      </vt:variant>
      <vt:variant>
        <vt:i4>5</vt:i4>
      </vt:variant>
      <vt:variant>
        <vt:lpwstr/>
      </vt:variant>
      <vt:variant>
        <vt:lpwstr>_Toc210141722</vt:lpwstr>
      </vt:variant>
      <vt:variant>
        <vt:i4>1310769</vt:i4>
      </vt:variant>
      <vt:variant>
        <vt:i4>86</vt:i4>
      </vt:variant>
      <vt:variant>
        <vt:i4>0</vt:i4>
      </vt:variant>
      <vt:variant>
        <vt:i4>5</vt:i4>
      </vt:variant>
      <vt:variant>
        <vt:lpwstr/>
      </vt:variant>
      <vt:variant>
        <vt:lpwstr>_Toc210141721</vt:lpwstr>
      </vt:variant>
      <vt:variant>
        <vt:i4>1310769</vt:i4>
      </vt:variant>
      <vt:variant>
        <vt:i4>80</vt:i4>
      </vt:variant>
      <vt:variant>
        <vt:i4>0</vt:i4>
      </vt:variant>
      <vt:variant>
        <vt:i4>5</vt:i4>
      </vt:variant>
      <vt:variant>
        <vt:lpwstr/>
      </vt:variant>
      <vt:variant>
        <vt:lpwstr>_Toc210141720</vt:lpwstr>
      </vt:variant>
      <vt:variant>
        <vt:i4>1507377</vt:i4>
      </vt:variant>
      <vt:variant>
        <vt:i4>74</vt:i4>
      </vt:variant>
      <vt:variant>
        <vt:i4>0</vt:i4>
      </vt:variant>
      <vt:variant>
        <vt:i4>5</vt:i4>
      </vt:variant>
      <vt:variant>
        <vt:lpwstr/>
      </vt:variant>
      <vt:variant>
        <vt:lpwstr>_Toc210141719</vt:lpwstr>
      </vt:variant>
      <vt:variant>
        <vt:i4>1507377</vt:i4>
      </vt:variant>
      <vt:variant>
        <vt:i4>68</vt:i4>
      </vt:variant>
      <vt:variant>
        <vt:i4>0</vt:i4>
      </vt:variant>
      <vt:variant>
        <vt:i4>5</vt:i4>
      </vt:variant>
      <vt:variant>
        <vt:lpwstr/>
      </vt:variant>
      <vt:variant>
        <vt:lpwstr>_Toc210141718</vt:lpwstr>
      </vt:variant>
      <vt:variant>
        <vt:i4>1507377</vt:i4>
      </vt:variant>
      <vt:variant>
        <vt:i4>62</vt:i4>
      </vt:variant>
      <vt:variant>
        <vt:i4>0</vt:i4>
      </vt:variant>
      <vt:variant>
        <vt:i4>5</vt:i4>
      </vt:variant>
      <vt:variant>
        <vt:lpwstr/>
      </vt:variant>
      <vt:variant>
        <vt:lpwstr>_Toc210141717</vt:lpwstr>
      </vt:variant>
      <vt:variant>
        <vt:i4>1507377</vt:i4>
      </vt:variant>
      <vt:variant>
        <vt:i4>56</vt:i4>
      </vt:variant>
      <vt:variant>
        <vt:i4>0</vt:i4>
      </vt:variant>
      <vt:variant>
        <vt:i4>5</vt:i4>
      </vt:variant>
      <vt:variant>
        <vt:lpwstr/>
      </vt:variant>
      <vt:variant>
        <vt:lpwstr>_Toc210141716</vt:lpwstr>
      </vt:variant>
      <vt:variant>
        <vt:i4>1507377</vt:i4>
      </vt:variant>
      <vt:variant>
        <vt:i4>50</vt:i4>
      </vt:variant>
      <vt:variant>
        <vt:i4>0</vt:i4>
      </vt:variant>
      <vt:variant>
        <vt:i4>5</vt:i4>
      </vt:variant>
      <vt:variant>
        <vt:lpwstr/>
      </vt:variant>
      <vt:variant>
        <vt:lpwstr>_Toc210141715</vt:lpwstr>
      </vt:variant>
      <vt:variant>
        <vt:i4>1507377</vt:i4>
      </vt:variant>
      <vt:variant>
        <vt:i4>44</vt:i4>
      </vt:variant>
      <vt:variant>
        <vt:i4>0</vt:i4>
      </vt:variant>
      <vt:variant>
        <vt:i4>5</vt:i4>
      </vt:variant>
      <vt:variant>
        <vt:lpwstr/>
      </vt:variant>
      <vt:variant>
        <vt:lpwstr>_Toc210141714</vt:lpwstr>
      </vt:variant>
      <vt:variant>
        <vt:i4>1507377</vt:i4>
      </vt:variant>
      <vt:variant>
        <vt:i4>38</vt:i4>
      </vt:variant>
      <vt:variant>
        <vt:i4>0</vt:i4>
      </vt:variant>
      <vt:variant>
        <vt:i4>5</vt:i4>
      </vt:variant>
      <vt:variant>
        <vt:lpwstr/>
      </vt:variant>
      <vt:variant>
        <vt:lpwstr>_Toc210141713</vt:lpwstr>
      </vt:variant>
      <vt:variant>
        <vt:i4>1507377</vt:i4>
      </vt:variant>
      <vt:variant>
        <vt:i4>32</vt:i4>
      </vt:variant>
      <vt:variant>
        <vt:i4>0</vt:i4>
      </vt:variant>
      <vt:variant>
        <vt:i4>5</vt:i4>
      </vt:variant>
      <vt:variant>
        <vt:lpwstr/>
      </vt:variant>
      <vt:variant>
        <vt:lpwstr>_Toc210141712</vt:lpwstr>
      </vt:variant>
      <vt:variant>
        <vt:i4>1507377</vt:i4>
      </vt:variant>
      <vt:variant>
        <vt:i4>26</vt:i4>
      </vt:variant>
      <vt:variant>
        <vt:i4>0</vt:i4>
      </vt:variant>
      <vt:variant>
        <vt:i4>5</vt:i4>
      </vt:variant>
      <vt:variant>
        <vt:lpwstr/>
      </vt:variant>
      <vt:variant>
        <vt:lpwstr>_Toc210141711</vt:lpwstr>
      </vt:variant>
      <vt:variant>
        <vt:i4>1507377</vt:i4>
      </vt:variant>
      <vt:variant>
        <vt:i4>20</vt:i4>
      </vt:variant>
      <vt:variant>
        <vt:i4>0</vt:i4>
      </vt:variant>
      <vt:variant>
        <vt:i4>5</vt:i4>
      </vt:variant>
      <vt:variant>
        <vt:lpwstr/>
      </vt:variant>
      <vt:variant>
        <vt:lpwstr>_Toc210141710</vt:lpwstr>
      </vt:variant>
      <vt:variant>
        <vt:i4>1441841</vt:i4>
      </vt:variant>
      <vt:variant>
        <vt:i4>14</vt:i4>
      </vt:variant>
      <vt:variant>
        <vt:i4>0</vt:i4>
      </vt:variant>
      <vt:variant>
        <vt:i4>5</vt:i4>
      </vt:variant>
      <vt:variant>
        <vt:lpwstr/>
      </vt:variant>
      <vt:variant>
        <vt:lpwstr>_Toc210141709</vt:lpwstr>
      </vt:variant>
      <vt:variant>
        <vt:i4>1441841</vt:i4>
      </vt:variant>
      <vt:variant>
        <vt:i4>8</vt:i4>
      </vt:variant>
      <vt:variant>
        <vt:i4>0</vt:i4>
      </vt:variant>
      <vt:variant>
        <vt:i4>5</vt:i4>
      </vt:variant>
      <vt:variant>
        <vt:lpwstr/>
      </vt:variant>
      <vt:variant>
        <vt:lpwstr>_Toc210141708</vt:lpwstr>
      </vt:variant>
      <vt:variant>
        <vt:i4>6750299</vt:i4>
      </vt:variant>
      <vt:variant>
        <vt:i4>3</vt:i4>
      </vt:variant>
      <vt:variant>
        <vt:i4>0</vt:i4>
      </vt:variant>
      <vt:variant>
        <vt:i4>5</vt:i4>
      </vt:variant>
      <vt:variant>
        <vt:lpwstr>mailto:FCM-BPA@food.gov.uk</vt:lpwstr>
      </vt:variant>
      <vt:variant>
        <vt:lpwstr/>
      </vt:variant>
      <vt:variant>
        <vt:i4>524356</vt:i4>
      </vt:variant>
      <vt:variant>
        <vt:i4>0</vt:i4>
      </vt:variant>
      <vt:variant>
        <vt:i4>0</vt:i4>
      </vt:variant>
      <vt:variant>
        <vt:i4>5</vt:i4>
      </vt:variant>
      <vt:variant>
        <vt:lpwstr>https://forms.office.com/e/2A6ywhS84b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Allan Shivembe</dc:creator>
  <cp:keywords/>
  <dc:description>FSA-CN-v1</dc:description>
  <cp:lastModifiedBy>Allan Shivembe</cp:lastModifiedBy>
  <cp:revision>41</cp:revision>
  <dcterms:created xsi:type="dcterms:W3CDTF">2025-10-01T01:49:00Z</dcterms:created>
  <dcterms:modified xsi:type="dcterms:W3CDTF">2025-10-02T11:37:00Z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0x01010035FCA2337BB66A42AFCA88A0366F187B</vt:lpwstr>
  </property>
  <property fmtid="{D5CDD505-2E9C-101B-9397-08002B2CF9AE}" pid="3" name="Digital Workplace Keywords">
    <vt:lpwstr/>
  </property>
  <property fmtid="{D5CDD505-2E9C-101B-9397-08002B2CF9AE}" pid="4" name="docLang">
    <vt:lpwstr>en</vt:lpwstr>
  </property>
  <property fmtid="{D5CDD505-2E9C-101B-9397-08002B2CF9AE}" pid="5" name="MediaServiceImageTags">
    <vt:lpwstr/>
  </property>
</Properties>
</file>