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971B" w14:textId="0FA471DF" w:rsidR="0036331A" w:rsidRPr="0036331A" w:rsidRDefault="0036331A" w:rsidP="0036331A">
      <w:pPr>
        <w:jc w:val="center"/>
        <w:rPr>
          <w:spacing w:val="4"/>
          <w:sz w:val="36"/>
          <w:szCs w:val="36"/>
          <w:u w:val="single"/>
          <w:shd w:val="clear" w:color="auto" w:fill="FFFFFF"/>
        </w:rPr>
      </w:pPr>
      <w:bookmarkStart w:id="0" w:name="_GoBack"/>
      <w:bookmarkEnd w:id="0"/>
      <w:r w:rsidRPr="0036331A">
        <w:rPr>
          <w:spacing w:val="4"/>
          <w:sz w:val="36"/>
          <w:szCs w:val="36"/>
          <w:u w:val="single"/>
          <w:shd w:val="clear" w:color="auto" w:fill="FFFFFF"/>
        </w:rPr>
        <w:t>The Materials and Articles in Contact with Food (England) (Amendment) Regulations 2018</w:t>
      </w:r>
    </w:p>
    <w:p w14:paraId="2D0F6FE9" w14:textId="42FFC139" w:rsidR="0036331A" w:rsidRPr="0036331A" w:rsidRDefault="0036331A" w:rsidP="0036331A">
      <w:pPr>
        <w:jc w:val="center"/>
        <w:rPr>
          <w:spacing w:val="4"/>
          <w:sz w:val="36"/>
          <w:szCs w:val="36"/>
          <w:u w:val="single"/>
          <w:shd w:val="clear" w:color="auto" w:fill="FFFFFF"/>
        </w:rPr>
      </w:pPr>
      <w:r w:rsidRPr="0036331A">
        <w:rPr>
          <w:spacing w:val="4"/>
          <w:sz w:val="36"/>
          <w:szCs w:val="36"/>
          <w:u w:val="single"/>
          <w:shd w:val="clear" w:color="auto" w:fill="FFFFFF"/>
        </w:rPr>
        <w:t>Summary Report of Stakeholders Responses</w:t>
      </w:r>
    </w:p>
    <w:p w14:paraId="256FB217" w14:textId="77777777" w:rsidR="0036331A" w:rsidRDefault="0036331A"/>
    <w:p w14:paraId="4C2FD92B" w14:textId="6B6BF1D2" w:rsidR="0036331A" w:rsidRPr="0036331A" w:rsidRDefault="0036331A" w:rsidP="0036331A">
      <w:pPr>
        <w:rPr>
          <w:spacing w:val="4"/>
          <w:sz w:val="36"/>
          <w:szCs w:val="36"/>
          <w:u w:val="single"/>
          <w:shd w:val="clear" w:color="auto" w:fill="FFFFFF"/>
        </w:rPr>
      </w:pPr>
      <w:r>
        <w:t xml:space="preserve">The </w:t>
      </w:r>
      <w:r w:rsidRPr="0036331A">
        <w:t>Materials and Articles in Contact with Food (England) (Amendment) Regulations 2018</w:t>
      </w:r>
      <w:r>
        <w:t xml:space="preserve"> consultation was issued on 09 April 2018 and closed on 04 June 2018. </w:t>
      </w:r>
    </w:p>
    <w:p w14:paraId="20743C15" w14:textId="59E681B1" w:rsidR="0036331A" w:rsidRDefault="0036331A" w:rsidP="0036331A">
      <w:r>
        <w:t xml:space="preserve">The purpose of the consultation was to seek comments from industry, enforcement authorities, port health authorities, consumers and other interested stakeholders on the proposed Materials and Articles in Contact with Food (England) (Amendment) Regulations 2018, and on the associated Impact Assessment. </w:t>
      </w:r>
    </w:p>
    <w:p w14:paraId="5C3B5016" w14:textId="001B82CA" w:rsidR="0036331A" w:rsidRDefault="0036331A" w:rsidP="0036331A">
      <w:pPr>
        <w:numPr>
          <w:ilvl w:val="0"/>
          <w:numId w:val="2"/>
        </w:numPr>
      </w:pPr>
      <w:r>
        <w:t xml:space="preserve">The FSA is grateful to those stakeholders who responded and sets out in the table below responses in order of the questions considered and stakeholder responding. </w:t>
      </w:r>
    </w:p>
    <w:p w14:paraId="1FF601E9" w14:textId="3B80A6DE" w:rsidR="0036331A" w:rsidRDefault="0036331A" w:rsidP="0036331A">
      <w:pPr>
        <w:numPr>
          <w:ilvl w:val="0"/>
          <w:numId w:val="2"/>
        </w:numPr>
      </w:pPr>
      <w:r>
        <w:t xml:space="preserve">The key proposals on which the consultation sought views were: </w:t>
      </w:r>
    </w:p>
    <w:p w14:paraId="3E712CC7" w14:textId="38A20B89" w:rsidR="0036331A" w:rsidRPr="00544A8B" w:rsidRDefault="0036331A" w:rsidP="0036331A">
      <w:pPr>
        <w:numPr>
          <w:ilvl w:val="1"/>
          <w:numId w:val="2"/>
        </w:numPr>
        <w:rPr>
          <w:color w:val="000000" w:themeColor="text1"/>
        </w:rPr>
      </w:pPr>
      <w:r w:rsidRPr="00544A8B">
        <w:rPr>
          <w:color w:val="000000" w:themeColor="text1"/>
        </w:rPr>
        <w:t>providing enforcement authorities with the necessary powers, for the execution and enforcement of the Recycling Regulation</w:t>
      </w:r>
      <w:r w:rsidR="00544A8B" w:rsidRPr="00544A8B">
        <w:rPr>
          <w:color w:val="000000" w:themeColor="text1"/>
        </w:rPr>
        <w:t xml:space="preserve"> (Regulation (EC) </w:t>
      </w:r>
      <w:r w:rsidR="00544A8B">
        <w:rPr>
          <w:color w:val="000000" w:themeColor="text1"/>
        </w:rPr>
        <w:t>N</w:t>
      </w:r>
      <w:r w:rsidR="00544A8B" w:rsidRPr="00544A8B">
        <w:rPr>
          <w:color w:val="000000" w:themeColor="text1"/>
        </w:rPr>
        <w:t>o. 282/2008)</w:t>
      </w:r>
      <w:r w:rsidRPr="00544A8B">
        <w:rPr>
          <w:color w:val="000000" w:themeColor="text1"/>
        </w:rPr>
        <w:t>, the revised Plastics Regulation</w:t>
      </w:r>
      <w:r w:rsidR="00544A8B" w:rsidRPr="00544A8B">
        <w:rPr>
          <w:color w:val="000000" w:themeColor="text1"/>
        </w:rPr>
        <w:t xml:space="preserve"> (Regulation (EU) No. 2016/1416)</w:t>
      </w:r>
      <w:r w:rsidRPr="00544A8B">
        <w:rPr>
          <w:color w:val="000000" w:themeColor="text1"/>
        </w:rPr>
        <w:t xml:space="preserve"> and BPA Regulation</w:t>
      </w:r>
      <w:r w:rsidR="00544A8B" w:rsidRPr="00544A8B">
        <w:rPr>
          <w:color w:val="000000" w:themeColor="text1"/>
        </w:rPr>
        <w:t xml:space="preserve"> (Regulation (EU) No. 2018/213)</w:t>
      </w:r>
    </w:p>
    <w:p w14:paraId="5FE3FBDE" w14:textId="3414E000" w:rsidR="00544A8B" w:rsidRDefault="00544A8B" w:rsidP="0036331A">
      <w:pPr>
        <w:numPr>
          <w:ilvl w:val="1"/>
          <w:numId w:val="2"/>
        </w:numPr>
      </w:pPr>
      <w:r>
        <w:t>any cost implications that come from changes derived from the Regulations mentioned above and as indicated in the Impact Assessment at Annex C</w:t>
      </w:r>
    </w:p>
    <w:p w14:paraId="68545F9B" w14:textId="77777777" w:rsidR="00544A8B" w:rsidRDefault="00544A8B" w:rsidP="0036331A">
      <w:pPr>
        <w:numPr>
          <w:ilvl w:val="1"/>
          <w:numId w:val="2"/>
        </w:numPr>
      </w:pPr>
      <w:r>
        <w:t>any costs associated with the proposed testing of food contact plastics for new migration limits for aluminium and zinc</w:t>
      </w:r>
    </w:p>
    <w:p w14:paraId="3CC702AD" w14:textId="5C4452DA" w:rsidR="0036331A" w:rsidRDefault="00544A8B" w:rsidP="0036331A">
      <w:pPr>
        <w:numPr>
          <w:ilvl w:val="1"/>
          <w:numId w:val="2"/>
        </w:numPr>
      </w:pPr>
      <w:r>
        <w:t>the Food Standards Agency’s (FSA) proposal on introducing compliance notices to act as a first intervention, rather than starting with criminal sanctions</w:t>
      </w:r>
    </w:p>
    <w:p w14:paraId="3FFA51CD" w14:textId="55101495" w:rsidR="004E2B75" w:rsidRDefault="0036331A" w:rsidP="00D3209C">
      <w:r>
        <w:t xml:space="preserve">The </w:t>
      </w:r>
      <w:r w:rsidR="00544A8B">
        <w:t>FSA’s</w:t>
      </w:r>
      <w:r>
        <w:t xml:space="preserve"> considered responses to stakeholders’ comments are given in the last column of the table. </w:t>
      </w:r>
      <w:r w:rsidR="00D3209C">
        <w:t xml:space="preserve">No responses were received for questions </w:t>
      </w:r>
      <w:r w:rsidR="008B7A23">
        <w:t>2, 3, 4, and 7</w:t>
      </w:r>
      <w:r w:rsidR="001740BF">
        <w:t xml:space="preserve"> (see A</w:t>
      </w:r>
      <w:r w:rsidR="00A94DE2">
        <w:t>nnex</w:t>
      </w:r>
      <w:r w:rsidR="001740BF">
        <w:t xml:space="preserve"> for details of questions)</w:t>
      </w:r>
      <w:r w:rsidR="008B7A23">
        <w:t>.</w:t>
      </w:r>
    </w:p>
    <w:p w14:paraId="69DAC23F" w14:textId="705795F2" w:rsidR="004E2B75" w:rsidRDefault="004E2B75" w:rsidP="00D3209C">
      <w:r>
        <w:t>Further details about business guidance and relevant legislation on food contact materials can be found at the following webpage:</w:t>
      </w:r>
    </w:p>
    <w:p w14:paraId="27780814" w14:textId="05010686" w:rsidR="004E2B75" w:rsidRPr="00D3209C" w:rsidRDefault="00F60894" w:rsidP="00D3209C">
      <w:pPr>
        <w:sectPr w:rsidR="004E2B75" w:rsidRPr="00D3209C" w:rsidSect="00D16203">
          <w:pgSz w:w="11906" w:h="16838"/>
          <w:pgMar w:top="1080" w:right="1440" w:bottom="1080" w:left="1440" w:header="708" w:footer="708" w:gutter="0"/>
          <w:cols w:space="708"/>
          <w:docGrid w:linePitch="360"/>
        </w:sectPr>
      </w:pPr>
      <w:hyperlink r:id="rId6" w:history="1">
        <w:r w:rsidR="004E2B75" w:rsidRPr="00C13F29">
          <w:rPr>
            <w:rStyle w:val="Hyperlink"/>
          </w:rPr>
          <w:t>https://www.food.gov.uk/business-guidance/food-contact-materials</w:t>
        </w:r>
      </w:hyperlink>
      <w:r w:rsidR="004E2B75">
        <w:t xml:space="preserve"> </w:t>
      </w:r>
    </w:p>
    <w:p w14:paraId="16F94D73" w14:textId="4FDED27C" w:rsidR="00F677BA" w:rsidRDefault="00A87F76" w:rsidP="00A87F76">
      <w:pPr>
        <w:jc w:val="center"/>
        <w:rPr>
          <w:b/>
        </w:rPr>
      </w:pPr>
      <w:r>
        <w:rPr>
          <w:b/>
        </w:rPr>
        <w:lastRenderedPageBreak/>
        <w:t xml:space="preserve">SUMMARY OF SUBSTANTIVE COMMENTS TO THE FSA CONSULTATION – </w:t>
      </w:r>
    </w:p>
    <w:p w14:paraId="08234DEF" w14:textId="28008D45" w:rsidR="00544A8B" w:rsidRPr="0036331A" w:rsidRDefault="00A87F76" w:rsidP="00544A8B">
      <w:pPr>
        <w:jc w:val="center"/>
        <w:rPr>
          <w:spacing w:val="4"/>
          <w:sz w:val="36"/>
          <w:szCs w:val="36"/>
          <w:u w:val="single"/>
          <w:shd w:val="clear" w:color="auto" w:fill="FFFFFF"/>
        </w:rPr>
      </w:pPr>
      <w:r>
        <w:rPr>
          <w:b/>
        </w:rPr>
        <w:t>MATERIALS AND ARTICLES IN CONTACT WITH FOOD (ENGLAND)</w:t>
      </w:r>
      <w:r w:rsidR="00544A8B">
        <w:rPr>
          <w:b/>
        </w:rPr>
        <w:t xml:space="preserve"> (AMENDMENT) REGULATIONS 2018 </w:t>
      </w:r>
    </w:p>
    <w:tbl>
      <w:tblPr>
        <w:tblStyle w:val="TableGrid"/>
        <w:tblW w:w="0" w:type="auto"/>
        <w:tblLook w:val="04A0" w:firstRow="1" w:lastRow="0" w:firstColumn="1" w:lastColumn="0" w:noHBand="0" w:noVBand="1"/>
      </w:tblPr>
      <w:tblGrid>
        <w:gridCol w:w="2257"/>
        <w:gridCol w:w="1070"/>
        <w:gridCol w:w="7696"/>
        <w:gridCol w:w="3651"/>
      </w:tblGrid>
      <w:tr w:rsidR="00094743" w14:paraId="289564CC" w14:textId="77777777" w:rsidTr="000959D8">
        <w:trPr>
          <w:trHeight w:val="658"/>
        </w:trPr>
        <w:tc>
          <w:tcPr>
            <w:tcW w:w="14674" w:type="dxa"/>
            <w:gridSpan w:val="4"/>
            <w:shd w:val="clear" w:color="auto" w:fill="BFBFBF" w:themeFill="background1" w:themeFillShade="BF"/>
          </w:tcPr>
          <w:p w14:paraId="72208A9C" w14:textId="77777777" w:rsidR="00E363FF" w:rsidRDefault="00E363FF" w:rsidP="00F47163">
            <w:pPr>
              <w:jc w:val="center"/>
              <w:rPr>
                <w:b/>
              </w:rPr>
            </w:pPr>
          </w:p>
          <w:p w14:paraId="65726E31" w14:textId="2B9CEAB4" w:rsidR="00F47163" w:rsidRDefault="00F47163" w:rsidP="00F47163">
            <w:pPr>
              <w:jc w:val="center"/>
              <w:rPr>
                <w:b/>
              </w:rPr>
            </w:pPr>
            <w:r w:rsidRPr="005D2EFD">
              <w:rPr>
                <w:b/>
              </w:rPr>
              <w:t>MACF(E)</w:t>
            </w:r>
            <w:r w:rsidR="00544A8B">
              <w:rPr>
                <w:b/>
              </w:rPr>
              <w:t>(A) R 2018</w:t>
            </w:r>
            <w:r w:rsidRPr="005D2EFD">
              <w:rPr>
                <w:b/>
              </w:rPr>
              <w:t xml:space="preserve"> Consultation</w:t>
            </w:r>
          </w:p>
          <w:p w14:paraId="71FA40D0" w14:textId="77777777" w:rsidR="00094743" w:rsidRDefault="00094743" w:rsidP="00094743">
            <w:pPr>
              <w:rPr>
                <w:b/>
              </w:rPr>
            </w:pPr>
          </w:p>
        </w:tc>
      </w:tr>
      <w:tr w:rsidR="00970C7B" w14:paraId="32BEE866" w14:textId="77777777" w:rsidTr="00D16203">
        <w:tc>
          <w:tcPr>
            <w:tcW w:w="14674" w:type="dxa"/>
            <w:gridSpan w:val="4"/>
            <w:tcBorders>
              <w:bottom w:val="single" w:sz="4" w:space="0" w:color="auto"/>
            </w:tcBorders>
            <w:shd w:val="clear" w:color="auto" w:fill="BFBFBF" w:themeFill="background1" w:themeFillShade="BF"/>
          </w:tcPr>
          <w:p w14:paraId="2D1C5393" w14:textId="10B730DA" w:rsidR="00970C7B" w:rsidRPr="00D16203" w:rsidRDefault="00970C7B" w:rsidP="00970C7B">
            <w:pPr>
              <w:rPr>
                <w:b/>
              </w:rPr>
            </w:pPr>
            <w:r w:rsidRPr="00D16203">
              <w:rPr>
                <w:b/>
                <w:bCs/>
                <w:u w:val="single"/>
              </w:rPr>
              <w:t>Question 1</w:t>
            </w:r>
            <w:r>
              <w:rPr>
                <w:b/>
                <w:bCs/>
                <w:u w:val="single"/>
              </w:rPr>
              <w:t xml:space="preserve">a </w:t>
            </w:r>
            <w:r w:rsidRPr="00D16203">
              <w:rPr>
                <w:b/>
                <w:bCs/>
              </w:rPr>
              <w:t>We invite stakeholders to comment on the introduction of compliance notices to act as a first intervention for the offences listed above.</w:t>
            </w:r>
          </w:p>
        </w:tc>
      </w:tr>
      <w:tr w:rsidR="00970C7B" w14:paraId="7FD095A0" w14:textId="77777777" w:rsidTr="00970C7B">
        <w:tc>
          <w:tcPr>
            <w:tcW w:w="2257" w:type="dxa"/>
            <w:shd w:val="clear" w:color="auto" w:fill="auto"/>
            <w:vAlign w:val="center"/>
          </w:tcPr>
          <w:p w14:paraId="3EB93002" w14:textId="5A3433DA" w:rsidR="00970C7B" w:rsidRPr="00970C7B" w:rsidRDefault="00970C7B" w:rsidP="00970C7B">
            <w:pPr>
              <w:jc w:val="center"/>
              <w:rPr>
                <w:b/>
              </w:rPr>
            </w:pPr>
            <w:r w:rsidRPr="00970C7B">
              <w:rPr>
                <w:b/>
              </w:rPr>
              <w:t>Stakeholder</w:t>
            </w:r>
          </w:p>
        </w:tc>
        <w:tc>
          <w:tcPr>
            <w:tcW w:w="1070" w:type="dxa"/>
            <w:shd w:val="clear" w:color="auto" w:fill="auto"/>
            <w:vAlign w:val="center"/>
          </w:tcPr>
          <w:p w14:paraId="61739118" w14:textId="7A1E4046" w:rsidR="00970C7B" w:rsidRPr="00970C7B" w:rsidRDefault="00970C7B" w:rsidP="00970C7B">
            <w:pPr>
              <w:jc w:val="center"/>
              <w:rPr>
                <w:b/>
              </w:rPr>
            </w:pPr>
            <w:r w:rsidRPr="00970C7B">
              <w:rPr>
                <w:b/>
              </w:rPr>
              <w:t>Method</w:t>
            </w:r>
          </w:p>
        </w:tc>
        <w:tc>
          <w:tcPr>
            <w:tcW w:w="7696" w:type="dxa"/>
            <w:shd w:val="clear" w:color="auto" w:fill="auto"/>
          </w:tcPr>
          <w:p w14:paraId="299233CA" w14:textId="195203B9" w:rsidR="00970C7B" w:rsidRPr="00970C7B" w:rsidRDefault="00970C7B" w:rsidP="00970C7B">
            <w:pPr>
              <w:jc w:val="center"/>
              <w:rPr>
                <w:b/>
                <w:iCs/>
                <w:szCs w:val="24"/>
              </w:rPr>
            </w:pPr>
            <w:r w:rsidRPr="00970C7B">
              <w:rPr>
                <w:b/>
                <w:iCs/>
                <w:szCs w:val="24"/>
              </w:rPr>
              <w:t>Stakeholder Response</w:t>
            </w:r>
          </w:p>
        </w:tc>
        <w:tc>
          <w:tcPr>
            <w:tcW w:w="3651" w:type="dxa"/>
            <w:shd w:val="clear" w:color="auto" w:fill="auto"/>
            <w:vAlign w:val="center"/>
          </w:tcPr>
          <w:p w14:paraId="68D99FB3" w14:textId="1422F224" w:rsidR="00970C7B" w:rsidRPr="00970C7B" w:rsidRDefault="00970C7B" w:rsidP="00970C7B">
            <w:pPr>
              <w:jc w:val="center"/>
              <w:rPr>
                <w:b/>
                <w:bCs/>
              </w:rPr>
            </w:pPr>
            <w:r w:rsidRPr="00970C7B">
              <w:rPr>
                <w:b/>
                <w:bCs/>
              </w:rPr>
              <w:t>FSA response</w:t>
            </w:r>
          </w:p>
        </w:tc>
      </w:tr>
      <w:tr w:rsidR="00970C7B" w14:paraId="5BCC1B59" w14:textId="77777777" w:rsidTr="00970C7B">
        <w:tc>
          <w:tcPr>
            <w:tcW w:w="2257" w:type="dxa"/>
            <w:shd w:val="clear" w:color="auto" w:fill="auto"/>
            <w:vAlign w:val="center"/>
          </w:tcPr>
          <w:p w14:paraId="79859969" w14:textId="30A705C9" w:rsidR="00970C7B" w:rsidRPr="00B1649D" w:rsidRDefault="00970C7B" w:rsidP="00970C7B">
            <w:pPr>
              <w:jc w:val="center"/>
            </w:pPr>
            <w:r w:rsidRPr="00B1649D">
              <w:t>East of England Trading Standards Association</w:t>
            </w:r>
          </w:p>
          <w:p w14:paraId="3383EE7F" w14:textId="77777777" w:rsidR="00970C7B" w:rsidRPr="00D16203" w:rsidRDefault="00970C7B" w:rsidP="00970C7B">
            <w:pPr>
              <w:jc w:val="center"/>
              <w:rPr>
                <w:b/>
                <w:bCs/>
                <w:u w:val="single"/>
              </w:rPr>
            </w:pPr>
          </w:p>
        </w:tc>
        <w:tc>
          <w:tcPr>
            <w:tcW w:w="1070" w:type="dxa"/>
            <w:shd w:val="clear" w:color="auto" w:fill="auto"/>
            <w:vAlign w:val="center"/>
          </w:tcPr>
          <w:p w14:paraId="6761405F" w14:textId="3029B6D4" w:rsidR="00970C7B" w:rsidRPr="000959D8" w:rsidRDefault="00970C7B" w:rsidP="00970C7B">
            <w:pPr>
              <w:jc w:val="center"/>
            </w:pPr>
            <w:r>
              <w:t>Email</w:t>
            </w:r>
          </w:p>
        </w:tc>
        <w:tc>
          <w:tcPr>
            <w:tcW w:w="7696" w:type="dxa"/>
            <w:shd w:val="clear" w:color="auto" w:fill="auto"/>
          </w:tcPr>
          <w:p w14:paraId="73ED7B85" w14:textId="77777777" w:rsidR="00970C7B" w:rsidRDefault="00970C7B" w:rsidP="00970C7B">
            <w:pPr>
              <w:jc w:val="both"/>
              <w:rPr>
                <w:iCs/>
                <w:szCs w:val="24"/>
              </w:rPr>
            </w:pPr>
            <w:r w:rsidRPr="000959D8">
              <w:rPr>
                <w:iCs/>
                <w:szCs w:val="24"/>
              </w:rPr>
              <w:t>The introduction of compliance notices is welcomed and seen as a good idea. It is seen as a cost effective and timely addition to the toolbox for what could simply be seen as a 'technical' offence which otherwise isn't likely to be pursued or treated seriously by the courts.</w:t>
            </w:r>
          </w:p>
          <w:p w14:paraId="18EF6C3C" w14:textId="1B67B091" w:rsidR="00970C7B" w:rsidRPr="00D16203" w:rsidRDefault="00970C7B" w:rsidP="00970C7B">
            <w:pPr>
              <w:jc w:val="both"/>
              <w:rPr>
                <w:b/>
                <w:bCs/>
                <w:u w:val="single"/>
              </w:rPr>
            </w:pPr>
          </w:p>
        </w:tc>
        <w:tc>
          <w:tcPr>
            <w:tcW w:w="3651" w:type="dxa"/>
            <w:vMerge w:val="restart"/>
            <w:shd w:val="clear" w:color="auto" w:fill="auto"/>
            <w:vAlign w:val="center"/>
          </w:tcPr>
          <w:p w14:paraId="7017CACD" w14:textId="42517AE1" w:rsidR="00970C7B" w:rsidRPr="00332B91" w:rsidRDefault="00970C7B" w:rsidP="00970C7B">
            <w:pPr>
              <w:jc w:val="center"/>
              <w:rPr>
                <w:bCs/>
              </w:rPr>
            </w:pPr>
            <w:r w:rsidRPr="00332B91">
              <w:rPr>
                <w:bCs/>
              </w:rPr>
              <w:t>Noted</w:t>
            </w:r>
            <w:r w:rsidR="00AB7711">
              <w:rPr>
                <w:bCs/>
              </w:rPr>
              <w:t>.</w:t>
            </w:r>
          </w:p>
        </w:tc>
      </w:tr>
      <w:tr w:rsidR="00970C7B" w14:paraId="52D24D3C" w14:textId="77777777" w:rsidTr="00970C7B">
        <w:tc>
          <w:tcPr>
            <w:tcW w:w="2257" w:type="dxa"/>
            <w:shd w:val="clear" w:color="auto" w:fill="auto"/>
            <w:vAlign w:val="center"/>
          </w:tcPr>
          <w:p w14:paraId="09CBA403" w14:textId="24D4F114" w:rsidR="00970C7B" w:rsidRPr="000959D8" w:rsidRDefault="00970C7B" w:rsidP="00970C7B">
            <w:pPr>
              <w:jc w:val="center"/>
              <w:rPr>
                <w:bCs/>
              </w:rPr>
            </w:pPr>
            <w:r>
              <w:rPr>
                <w:bCs/>
              </w:rPr>
              <w:t>Food and Drink Federation</w:t>
            </w:r>
          </w:p>
        </w:tc>
        <w:tc>
          <w:tcPr>
            <w:tcW w:w="1070" w:type="dxa"/>
            <w:shd w:val="clear" w:color="auto" w:fill="auto"/>
            <w:vAlign w:val="center"/>
          </w:tcPr>
          <w:p w14:paraId="645FB039" w14:textId="00372343" w:rsidR="00970C7B" w:rsidRPr="00D16203" w:rsidRDefault="00970C7B" w:rsidP="00970C7B">
            <w:pPr>
              <w:jc w:val="center"/>
              <w:rPr>
                <w:b/>
                <w:bCs/>
                <w:u w:val="single"/>
              </w:rPr>
            </w:pPr>
            <w:r>
              <w:t>Email</w:t>
            </w:r>
          </w:p>
        </w:tc>
        <w:tc>
          <w:tcPr>
            <w:tcW w:w="7696" w:type="dxa"/>
            <w:shd w:val="clear" w:color="auto" w:fill="auto"/>
          </w:tcPr>
          <w:p w14:paraId="77A169C8" w14:textId="77777777" w:rsidR="00970C7B" w:rsidRDefault="00970C7B" w:rsidP="00970C7B">
            <w:r>
              <w:rPr>
                <w:bCs/>
              </w:rPr>
              <w:t xml:space="preserve">Feedback from members indicates they are in agreement with the proposal to introduce </w:t>
            </w:r>
            <w:r>
              <w:t>the use of compliance notices to act as a first intervention for the offences of failing to comply with the requirements for a Declaration of Compliance or for providing supporting documentation.</w:t>
            </w:r>
          </w:p>
          <w:p w14:paraId="45F87032" w14:textId="78A89D24" w:rsidR="00970C7B" w:rsidRPr="00D16203" w:rsidRDefault="00970C7B" w:rsidP="00970C7B">
            <w:pPr>
              <w:rPr>
                <w:b/>
                <w:bCs/>
                <w:u w:val="single"/>
              </w:rPr>
            </w:pPr>
          </w:p>
        </w:tc>
        <w:tc>
          <w:tcPr>
            <w:tcW w:w="3651" w:type="dxa"/>
            <w:vMerge/>
            <w:shd w:val="clear" w:color="auto" w:fill="auto"/>
          </w:tcPr>
          <w:p w14:paraId="4AEBCADD" w14:textId="56294F14" w:rsidR="00970C7B" w:rsidRPr="00D16203" w:rsidRDefault="00970C7B" w:rsidP="00970C7B">
            <w:pPr>
              <w:rPr>
                <w:b/>
                <w:bCs/>
                <w:u w:val="single"/>
              </w:rPr>
            </w:pPr>
          </w:p>
        </w:tc>
      </w:tr>
      <w:tr w:rsidR="00970C7B" w14:paraId="463D86D8" w14:textId="77777777" w:rsidTr="00146E9F">
        <w:tc>
          <w:tcPr>
            <w:tcW w:w="14674" w:type="dxa"/>
            <w:gridSpan w:val="4"/>
            <w:tcBorders>
              <w:bottom w:val="single" w:sz="4" w:space="0" w:color="auto"/>
            </w:tcBorders>
            <w:shd w:val="clear" w:color="auto" w:fill="BFBFBF" w:themeFill="background1" w:themeFillShade="BF"/>
          </w:tcPr>
          <w:p w14:paraId="38EBB9A3" w14:textId="6AF39824" w:rsidR="00970C7B" w:rsidRPr="00D16203" w:rsidRDefault="00970C7B" w:rsidP="00970C7B">
            <w:pPr>
              <w:rPr>
                <w:b/>
                <w:bCs/>
                <w:u w:val="single"/>
              </w:rPr>
            </w:pPr>
            <w:r w:rsidRPr="00D16203">
              <w:rPr>
                <w:b/>
                <w:bCs/>
                <w:u w:val="single"/>
              </w:rPr>
              <w:t>Question 1b</w:t>
            </w:r>
            <w:r w:rsidRPr="00D16203">
              <w:rPr>
                <w:b/>
                <w:bCs/>
              </w:rPr>
              <w:t xml:space="preserve"> Will the introduction of compliance notices provide adequate protection for consumers?</w:t>
            </w:r>
          </w:p>
        </w:tc>
      </w:tr>
      <w:tr w:rsidR="00970C7B" w14:paraId="0409F489" w14:textId="77777777" w:rsidTr="00970C7B">
        <w:tc>
          <w:tcPr>
            <w:tcW w:w="2257" w:type="dxa"/>
            <w:shd w:val="clear" w:color="auto" w:fill="FFFFFF" w:themeFill="background1"/>
            <w:vAlign w:val="center"/>
          </w:tcPr>
          <w:p w14:paraId="77438B8E" w14:textId="77777777" w:rsidR="00970C7B" w:rsidRPr="00B1649D" w:rsidRDefault="00970C7B" w:rsidP="00970C7B">
            <w:pPr>
              <w:jc w:val="center"/>
            </w:pPr>
            <w:r w:rsidRPr="00B1649D">
              <w:t>East of England Trading Standards Association</w:t>
            </w:r>
          </w:p>
          <w:p w14:paraId="2B6A02EA" w14:textId="77777777" w:rsidR="00970C7B" w:rsidRPr="000959D8" w:rsidRDefault="00970C7B" w:rsidP="00970C7B"/>
        </w:tc>
        <w:tc>
          <w:tcPr>
            <w:tcW w:w="1070" w:type="dxa"/>
            <w:shd w:val="clear" w:color="auto" w:fill="FFFFFF" w:themeFill="background1"/>
            <w:vAlign w:val="center"/>
          </w:tcPr>
          <w:p w14:paraId="1CFE9185" w14:textId="754DBA7F" w:rsidR="00970C7B" w:rsidRPr="000959D8" w:rsidRDefault="00970C7B" w:rsidP="00970C7B">
            <w:pPr>
              <w:jc w:val="center"/>
            </w:pPr>
            <w:r>
              <w:t>Email</w:t>
            </w:r>
          </w:p>
        </w:tc>
        <w:tc>
          <w:tcPr>
            <w:tcW w:w="7696" w:type="dxa"/>
            <w:shd w:val="clear" w:color="auto" w:fill="FFFFFF" w:themeFill="background1"/>
          </w:tcPr>
          <w:p w14:paraId="493959E9" w14:textId="4F87478A" w:rsidR="00970C7B" w:rsidRDefault="00970C7B" w:rsidP="00970C7B">
            <w:pPr>
              <w:jc w:val="both"/>
              <w:rPr>
                <w:iCs/>
                <w:szCs w:val="24"/>
              </w:rPr>
            </w:pPr>
            <w:r w:rsidRPr="000959D8">
              <w:rPr>
                <w:iCs/>
                <w:szCs w:val="24"/>
              </w:rPr>
              <w:t>Although the introduction of compliance notices is welcomed</w:t>
            </w:r>
            <w:r w:rsidR="009508FA">
              <w:rPr>
                <w:iCs/>
                <w:szCs w:val="24"/>
              </w:rPr>
              <w:t>,</w:t>
            </w:r>
            <w:r w:rsidRPr="000959D8">
              <w:rPr>
                <w:iCs/>
                <w:szCs w:val="24"/>
              </w:rPr>
              <w:t xml:space="preserve"> there is concern that the notices will be poorly enforced partly due to a general lack of knowledge or priority. Increased and clearer publicity of the requirements to businesses and enforcers would increase activity in this area. In support of this</w:t>
            </w:r>
            <w:r w:rsidR="009508FA">
              <w:rPr>
                <w:iCs/>
                <w:szCs w:val="24"/>
              </w:rPr>
              <w:t>,</w:t>
            </w:r>
            <w:r w:rsidRPr="000959D8">
              <w:rPr>
                <w:iCs/>
                <w:szCs w:val="24"/>
              </w:rPr>
              <w:t xml:space="preserve"> it has been suggested that the FSA should provide LA enforcement officers with free or </w:t>
            </w:r>
            <w:r w:rsidR="00FF1906" w:rsidRPr="000959D8">
              <w:rPr>
                <w:iCs/>
                <w:szCs w:val="24"/>
              </w:rPr>
              <w:t>low-cost</w:t>
            </w:r>
            <w:r w:rsidRPr="000959D8">
              <w:rPr>
                <w:iCs/>
                <w:szCs w:val="24"/>
              </w:rPr>
              <w:t xml:space="preserve"> training on Food Contact Materials to improve awareness,</w:t>
            </w:r>
            <w:r>
              <w:rPr>
                <w:iCs/>
                <w:szCs w:val="24"/>
              </w:rPr>
              <w:t xml:space="preserve"> consistency and enforcement, </w:t>
            </w:r>
            <w:r w:rsidR="009508FA">
              <w:rPr>
                <w:iCs/>
                <w:szCs w:val="24"/>
              </w:rPr>
              <w:t>a</w:t>
            </w:r>
            <w:r w:rsidR="009508FA" w:rsidRPr="000959D8">
              <w:rPr>
                <w:iCs/>
                <w:szCs w:val="24"/>
              </w:rPr>
              <w:t xml:space="preserve">llowing </w:t>
            </w:r>
            <w:r w:rsidRPr="000959D8">
              <w:rPr>
                <w:iCs/>
                <w:szCs w:val="24"/>
              </w:rPr>
              <w:t>enforcement to be more simply focused on the required paperwork could assist in this. Another way to increase consumer protection would be the option for fixed penalty notices.</w:t>
            </w:r>
          </w:p>
          <w:p w14:paraId="6D214BDE" w14:textId="066419AB" w:rsidR="00970C7B" w:rsidRPr="00D16203" w:rsidRDefault="00970C7B" w:rsidP="00970C7B">
            <w:pPr>
              <w:jc w:val="both"/>
              <w:rPr>
                <w:b/>
                <w:bCs/>
                <w:u w:val="single"/>
              </w:rPr>
            </w:pPr>
          </w:p>
        </w:tc>
        <w:tc>
          <w:tcPr>
            <w:tcW w:w="3651" w:type="dxa"/>
            <w:shd w:val="clear" w:color="auto" w:fill="FFFFFF" w:themeFill="background1"/>
          </w:tcPr>
          <w:p w14:paraId="57160D52" w14:textId="2EB5682D" w:rsidR="00970C7B" w:rsidRPr="00D16203" w:rsidRDefault="009508FA" w:rsidP="00970C7B">
            <w:pPr>
              <w:rPr>
                <w:b/>
                <w:bCs/>
                <w:u w:val="single"/>
              </w:rPr>
            </w:pPr>
            <w:r w:rsidRPr="00FF1906">
              <w:rPr>
                <w:bCs/>
              </w:rPr>
              <w:lastRenderedPageBreak/>
              <w:t>Noted.</w:t>
            </w:r>
            <w:r w:rsidR="00FF1906" w:rsidRPr="00FF1906">
              <w:rPr>
                <w:b/>
                <w:bCs/>
              </w:rPr>
              <w:t xml:space="preserve"> </w:t>
            </w:r>
            <w:r w:rsidRPr="00FF1906">
              <w:rPr>
                <w:bCs/>
              </w:rPr>
              <w:t>The F</w:t>
            </w:r>
            <w:r>
              <w:rPr>
                <w:bCs/>
              </w:rPr>
              <w:t xml:space="preserve">SA will consider the merits of increasing awareness of food contact material enforcement requirements. </w:t>
            </w:r>
          </w:p>
        </w:tc>
      </w:tr>
      <w:tr w:rsidR="00970C7B" w14:paraId="4C46BACE" w14:textId="77777777" w:rsidTr="00970C7B">
        <w:tc>
          <w:tcPr>
            <w:tcW w:w="2257" w:type="dxa"/>
            <w:shd w:val="clear" w:color="auto" w:fill="FFFFFF" w:themeFill="background1"/>
            <w:vAlign w:val="center"/>
          </w:tcPr>
          <w:p w14:paraId="5E0A1B49" w14:textId="74F0E4B9" w:rsidR="00970C7B" w:rsidRPr="000959D8" w:rsidRDefault="00970C7B" w:rsidP="00970C7B">
            <w:pPr>
              <w:jc w:val="center"/>
            </w:pPr>
            <w:r>
              <w:rPr>
                <w:bCs/>
              </w:rPr>
              <w:t>Food and Drink Federation</w:t>
            </w:r>
          </w:p>
        </w:tc>
        <w:tc>
          <w:tcPr>
            <w:tcW w:w="1070" w:type="dxa"/>
            <w:shd w:val="clear" w:color="auto" w:fill="FFFFFF" w:themeFill="background1"/>
            <w:vAlign w:val="center"/>
          </w:tcPr>
          <w:p w14:paraId="44C59DDB" w14:textId="7945CD59" w:rsidR="00970C7B" w:rsidRPr="000959D8" w:rsidRDefault="00970C7B" w:rsidP="00970C7B">
            <w:pPr>
              <w:jc w:val="center"/>
            </w:pPr>
            <w:r>
              <w:t>Email</w:t>
            </w:r>
          </w:p>
        </w:tc>
        <w:tc>
          <w:tcPr>
            <w:tcW w:w="7696" w:type="dxa"/>
            <w:shd w:val="clear" w:color="auto" w:fill="FFFFFF" w:themeFill="background1"/>
            <w:vAlign w:val="center"/>
          </w:tcPr>
          <w:p w14:paraId="6C45A855" w14:textId="4AE3E06E" w:rsidR="00970C7B" w:rsidRPr="00332B91" w:rsidRDefault="00970C7B" w:rsidP="00970C7B">
            <w:pPr>
              <w:rPr>
                <w:bCs/>
              </w:rPr>
            </w:pPr>
            <w:r w:rsidRPr="00332B91">
              <w:rPr>
                <w:bCs/>
              </w:rPr>
              <w:t>No comments received</w:t>
            </w:r>
            <w:r w:rsidR="00AB7711">
              <w:rPr>
                <w:bCs/>
              </w:rPr>
              <w:t>.</w:t>
            </w:r>
          </w:p>
        </w:tc>
        <w:tc>
          <w:tcPr>
            <w:tcW w:w="3651" w:type="dxa"/>
            <w:shd w:val="clear" w:color="auto" w:fill="FFFFFF" w:themeFill="background1"/>
          </w:tcPr>
          <w:p w14:paraId="4153F0B9" w14:textId="6FC119DD" w:rsidR="00970C7B" w:rsidRPr="00D16203" w:rsidRDefault="00970C7B" w:rsidP="00970C7B">
            <w:pPr>
              <w:rPr>
                <w:b/>
                <w:bCs/>
                <w:u w:val="single"/>
              </w:rPr>
            </w:pPr>
          </w:p>
        </w:tc>
      </w:tr>
      <w:tr w:rsidR="00970C7B" w14:paraId="00C2B513" w14:textId="77777777" w:rsidTr="00146E9F">
        <w:tc>
          <w:tcPr>
            <w:tcW w:w="14674" w:type="dxa"/>
            <w:gridSpan w:val="4"/>
            <w:tcBorders>
              <w:bottom w:val="single" w:sz="4" w:space="0" w:color="auto"/>
            </w:tcBorders>
            <w:shd w:val="clear" w:color="auto" w:fill="BFBFBF" w:themeFill="background1" w:themeFillShade="BF"/>
          </w:tcPr>
          <w:p w14:paraId="3CBEDA1F" w14:textId="680CBD18" w:rsidR="00970C7B" w:rsidRPr="00D16203" w:rsidRDefault="00970C7B" w:rsidP="00970C7B">
            <w:pPr>
              <w:rPr>
                <w:b/>
                <w:bCs/>
                <w:u w:val="single"/>
              </w:rPr>
            </w:pPr>
            <w:r w:rsidRPr="00D16203">
              <w:rPr>
                <w:b/>
                <w:bCs/>
                <w:u w:val="single"/>
              </w:rPr>
              <w:t>Question 1c</w:t>
            </w:r>
            <w:r w:rsidRPr="00D16203">
              <w:rPr>
                <w:b/>
                <w:bCs/>
              </w:rPr>
              <w:t xml:space="preserve"> We invite stakeholders to comment on the proposal to use ‘backstop’ criminal offences for failure to comply with a compliance notice. A criminal offence would apply, with a penalty on summary conviction of a fine.</w:t>
            </w:r>
          </w:p>
        </w:tc>
      </w:tr>
      <w:tr w:rsidR="00970C7B" w14:paraId="4CD33F21" w14:textId="77777777" w:rsidTr="00970C7B">
        <w:tc>
          <w:tcPr>
            <w:tcW w:w="2257" w:type="dxa"/>
            <w:shd w:val="clear" w:color="auto" w:fill="auto"/>
            <w:vAlign w:val="center"/>
          </w:tcPr>
          <w:p w14:paraId="1F9CA56D" w14:textId="77777777" w:rsidR="00970C7B" w:rsidRDefault="00970C7B" w:rsidP="00970C7B">
            <w:pPr>
              <w:jc w:val="center"/>
            </w:pPr>
            <w:r w:rsidRPr="00B1649D">
              <w:t>East of England Trading Standards Association</w:t>
            </w:r>
          </w:p>
          <w:p w14:paraId="5C18845A" w14:textId="31BFA152" w:rsidR="00970C7B" w:rsidRPr="00970C7B" w:rsidRDefault="00970C7B" w:rsidP="00970C7B">
            <w:pPr>
              <w:jc w:val="center"/>
            </w:pPr>
          </w:p>
        </w:tc>
        <w:tc>
          <w:tcPr>
            <w:tcW w:w="1070" w:type="dxa"/>
            <w:shd w:val="clear" w:color="auto" w:fill="auto"/>
            <w:vAlign w:val="center"/>
          </w:tcPr>
          <w:p w14:paraId="339A466A" w14:textId="1DCC1E70" w:rsidR="00970C7B" w:rsidRPr="00146E9F" w:rsidRDefault="00970C7B" w:rsidP="00970C7B">
            <w:pPr>
              <w:jc w:val="center"/>
              <w:rPr>
                <w:b/>
                <w:bCs/>
                <w:u w:val="single"/>
              </w:rPr>
            </w:pPr>
            <w:r>
              <w:t>Email</w:t>
            </w:r>
          </w:p>
        </w:tc>
        <w:tc>
          <w:tcPr>
            <w:tcW w:w="7696" w:type="dxa"/>
            <w:shd w:val="clear" w:color="auto" w:fill="auto"/>
          </w:tcPr>
          <w:p w14:paraId="408C228E" w14:textId="7F0750C8" w:rsidR="00970C7B" w:rsidRPr="00146E9F" w:rsidRDefault="00970C7B" w:rsidP="00970C7B">
            <w:pPr>
              <w:spacing w:before="100" w:beforeAutospacing="1" w:after="100" w:afterAutospacing="1"/>
              <w:jc w:val="both"/>
              <w:rPr>
                <w:b/>
                <w:bCs/>
                <w:u w:val="single"/>
              </w:rPr>
            </w:pPr>
            <w:r w:rsidRPr="000959D8">
              <w:rPr>
                <w:iCs/>
                <w:szCs w:val="24"/>
              </w:rPr>
              <w:t xml:space="preserve">It is seen as essential to have backstop criminal offences for failure to comply with a compliance notice especially for persistent / wilful </w:t>
            </w:r>
            <w:r>
              <w:rPr>
                <w:iCs/>
                <w:szCs w:val="24"/>
              </w:rPr>
              <w:t>non-</w:t>
            </w:r>
            <w:r w:rsidRPr="000959D8">
              <w:rPr>
                <w:iCs/>
                <w:szCs w:val="24"/>
              </w:rPr>
              <w:t>compliance</w:t>
            </w:r>
            <w:r>
              <w:rPr>
                <w:iCs/>
                <w:szCs w:val="24"/>
              </w:rPr>
              <w:t>.</w:t>
            </w:r>
          </w:p>
        </w:tc>
        <w:tc>
          <w:tcPr>
            <w:tcW w:w="3651" w:type="dxa"/>
            <w:shd w:val="clear" w:color="auto" w:fill="auto"/>
            <w:vAlign w:val="center"/>
          </w:tcPr>
          <w:p w14:paraId="6661B114" w14:textId="4F77CF1D" w:rsidR="00970C7B" w:rsidRPr="00146E9F" w:rsidRDefault="00970C7B" w:rsidP="00970C7B">
            <w:pPr>
              <w:jc w:val="center"/>
              <w:rPr>
                <w:b/>
                <w:bCs/>
                <w:u w:val="single"/>
              </w:rPr>
            </w:pPr>
            <w:r w:rsidRPr="00332B91">
              <w:rPr>
                <w:bCs/>
              </w:rPr>
              <w:t>Noted</w:t>
            </w:r>
            <w:r w:rsidR="00AB7711">
              <w:rPr>
                <w:bCs/>
              </w:rPr>
              <w:t>.</w:t>
            </w:r>
          </w:p>
        </w:tc>
      </w:tr>
      <w:tr w:rsidR="00970C7B" w14:paraId="2E77210D" w14:textId="77777777" w:rsidTr="00970C7B">
        <w:tc>
          <w:tcPr>
            <w:tcW w:w="2257" w:type="dxa"/>
            <w:tcBorders>
              <w:bottom w:val="single" w:sz="4" w:space="0" w:color="auto"/>
            </w:tcBorders>
            <w:shd w:val="clear" w:color="auto" w:fill="auto"/>
            <w:vAlign w:val="center"/>
          </w:tcPr>
          <w:p w14:paraId="2057DC33" w14:textId="49816AB7" w:rsidR="00970C7B" w:rsidRPr="00146E9F" w:rsidRDefault="00970C7B" w:rsidP="00970C7B">
            <w:pPr>
              <w:jc w:val="center"/>
              <w:rPr>
                <w:b/>
                <w:bCs/>
                <w:u w:val="single"/>
              </w:rPr>
            </w:pPr>
            <w:r>
              <w:rPr>
                <w:bCs/>
              </w:rPr>
              <w:t>Food and Drink Federation</w:t>
            </w:r>
          </w:p>
        </w:tc>
        <w:tc>
          <w:tcPr>
            <w:tcW w:w="1070" w:type="dxa"/>
            <w:tcBorders>
              <w:bottom w:val="single" w:sz="4" w:space="0" w:color="auto"/>
            </w:tcBorders>
            <w:shd w:val="clear" w:color="auto" w:fill="auto"/>
            <w:vAlign w:val="center"/>
          </w:tcPr>
          <w:p w14:paraId="65A74EB8" w14:textId="50AB9F22" w:rsidR="00970C7B" w:rsidRPr="00146E9F" w:rsidRDefault="00970C7B" w:rsidP="00970C7B">
            <w:pPr>
              <w:jc w:val="center"/>
              <w:rPr>
                <w:b/>
                <w:bCs/>
                <w:u w:val="single"/>
              </w:rPr>
            </w:pPr>
            <w:r>
              <w:t>Email</w:t>
            </w:r>
          </w:p>
        </w:tc>
        <w:tc>
          <w:tcPr>
            <w:tcW w:w="7696" w:type="dxa"/>
            <w:tcBorders>
              <w:bottom w:val="single" w:sz="4" w:space="0" w:color="auto"/>
            </w:tcBorders>
            <w:shd w:val="clear" w:color="auto" w:fill="auto"/>
            <w:vAlign w:val="center"/>
          </w:tcPr>
          <w:p w14:paraId="5E83D08B" w14:textId="39FB550F" w:rsidR="00970C7B" w:rsidRPr="00146E9F" w:rsidRDefault="00970C7B" w:rsidP="00970C7B">
            <w:pPr>
              <w:rPr>
                <w:b/>
                <w:bCs/>
                <w:u w:val="single"/>
              </w:rPr>
            </w:pPr>
            <w:r w:rsidRPr="00332B91">
              <w:rPr>
                <w:bCs/>
              </w:rPr>
              <w:t>No comments received</w:t>
            </w:r>
            <w:r w:rsidR="00AB7711">
              <w:rPr>
                <w:bCs/>
              </w:rPr>
              <w:t>.</w:t>
            </w:r>
          </w:p>
        </w:tc>
        <w:tc>
          <w:tcPr>
            <w:tcW w:w="3651" w:type="dxa"/>
            <w:tcBorders>
              <w:bottom w:val="single" w:sz="4" w:space="0" w:color="auto"/>
            </w:tcBorders>
            <w:shd w:val="clear" w:color="auto" w:fill="auto"/>
          </w:tcPr>
          <w:p w14:paraId="01E44D53" w14:textId="77777777" w:rsidR="00970C7B" w:rsidRPr="00146E9F" w:rsidRDefault="00970C7B" w:rsidP="00970C7B">
            <w:pPr>
              <w:rPr>
                <w:b/>
                <w:bCs/>
                <w:u w:val="single"/>
              </w:rPr>
            </w:pPr>
          </w:p>
        </w:tc>
      </w:tr>
      <w:tr w:rsidR="00970C7B" w14:paraId="46D1C838" w14:textId="77777777" w:rsidTr="000959D8">
        <w:tc>
          <w:tcPr>
            <w:tcW w:w="14674" w:type="dxa"/>
            <w:gridSpan w:val="4"/>
            <w:shd w:val="clear" w:color="auto" w:fill="BFBFBF" w:themeFill="background1" w:themeFillShade="BF"/>
          </w:tcPr>
          <w:p w14:paraId="1106A417" w14:textId="4BFE3E58" w:rsidR="00970C7B" w:rsidRPr="00146E9F" w:rsidRDefault="00970C7B" w:rsidP="00970C7B">
            <w:pPr>
              <w:rPr>
                <w:b/>
                <w:bCs/>
                <w:u w:val="single"/>
              </w:rPr>
            </w:pPr>
            <w:r>
              <w:rPr>
                <w:b/>
                <w:bCs/>
                <w:u w:val="single"/>
              </w:rPr>
              <w:t>Question 5</w:t>
            </w:r>
            <w:r w:rsidRPr="00D16203">
              <w:rPr>
                <w:b/>
                <w:bCs/>
              </w:rPr>
              <w:t xml:space="preserve"> </w:t>
            </w:r>
            <w:r w:rsidRPr="000959D8">
              <w:rPr>
                <w:b/>
              </w:rPr>
              <w:t>We welcome stakeholders’ comments on whether our estimates of familiarisation costs to industry (outlined in Tables 4, 6 and 8) and our assumption that it will take businesses up to one hour to familiarise themselves with the requirements of the EU Regulations (plus half an hour for the Recycled Plastics requirements where pertinent) and one hour to disseminate to other members of staff (two or two-and-a-half hours in total) is reasonable.</w:t>
            </w:r>
          </w:p>
        </w:tc>
      </w:tr>
      <w:tr w:rsidR="00970C7B" w14:paraId="6B6C2678" w14:textId="77777777" w:rsidTr="00970C7B">
        <w:tc>
          <w:tcPr>
            <w:tcW w:w="2257" w:type="dxa"/>
            <w:shd w:val="clear" w:color="auto" w:fill="auto"/>
            <w:vAlign w:val="center"/>
          </w:tcPr>
          <w:p w14:paraId="2652DAC5" w14:textId="77777777" w:rsidR="00970C7B" w:rsidRPr="00B1649D" w:rsidRDefault="00970C7B" w:rsidP="00970C7B">
            <w:pPr>
              <w:jc w:val="center"/>
            </w:pPr>
            <w:r w:rsidRPr="00B1649D">
              <w:t>East of England Trading Standards Association</w:t>
            </w:r>
          </w:p>
          <w:p w14:paraId="552B4BC9" w14:textId="77777777" w:rsidR="00970C7B" w:rsidRPr="00146E9F" w:rsidRDefault="00970C7B" w:rsidP="00970C7B">
            <w:pPr>
              <w:rPr>
                <w:b/>
                <w:bCs/>
                <w:u w:val="single"/>
              </w:rPr>
            </w:pPr>
          </w:p>
        </w:tc>
        <w:tc>
          <w:tcPr>
            <w:tcW w:w="1070" w:type="dxa"/>
            <w:shd w:val="clear" w:color="auto" w:fill="auto"/>
            <w:vAlign w:val="center"/>
          </w:tcPr>
          <w:p w14:paraId="7907335C" w14:textId="539F7AB4" w:rsidR="00970C7B" w:rsidRPr="00146E9F" w:rsidRDefault="00970C7B" w:rsidP="00970C7B">
            <w:pPr>
              <w:jc w:val="center"/>
              <w:rPr>
                <w:b/>
                <w:bCs/>
                <w:u w:val="single"/>
              </w:rPr>
            </w:pPr>
            <w:r>
              <w:t>Email</w:t>
            </w:r>
          </w:p>
        </w:tc>
        <w:tc>
          <w:tcPr>
            <w:tcW w:w="7696" w:type="dxa"/>
            <w:shd w:val="clear" w:color="auto" w:fill="auto"/>
            <w:vAlign w:val="center"/>
          </w:tcPr>
          <w:p w14:paraId="244A4C5B" w14:textId="776A097F" w:rsidR="00970C7B" w:rsidRPr="00146E9F" w:rsidRDefault="00970C7B" w:rsidP="00970C7B">
            <w:pPr>
              <w:rPr>
                <w:b/>
                <w:bCs/>
                <w:u w:val="single"/>
              </w:rPr>
            </w:pPr>
            <w:r w:rsidRPr="00332B91">
              <w:rPr>
                <w:bCs/>
              </w:rPr>
              <w:t>No comments received</w:t>
            </w:r>
            <w:r w:rsidR="00AB7711">
              <w:rPr>
                <w:bCs/>
              </w:rPr>
              <w:t>.</w:t>
            </w:r>
          </w:p>
        </w:tc>
        <w:tc>
          <w:tcPr>
            <w:tcW w:w="3651" w:type="dxa"/>
            <w:shd w:val="clear" w:color="auto" w:fill="auto"/>
          </w:tcPr>
          <w:p w14:paraId="51600351" w14:textId="77777777" w:rsidR="00970C7B" w:rsidRPr="00146E9F" w:rsidRDefault="00970C7B" w:rsidP="00970C7B">
            <w:pPr>
              <w:rPr>
                <w:b/>
                <w:bCs/>
                <w:u w:val="single"/>
              </w:rPr>
            </w:pPr>
          </w:p>
        </w:tc>
      </w:tr>
      <w:tr w:rsidR="00970C7B" w14:paraId="1F87436E" w14:textId="77777777" w:rsidTr="00970C7B">
        <w:tc>
          <w:tcPr>
            <w:tcW w:w="2257" w:type="dxa"/>
            <w:shd w:val="clear" w:color="auto" w:fill="auto"/>
            <w:vAlign w:val="center"/>
          </w:tcPr>
          <w:p w14:paraId="47BA6AE0" w14:textId="4DABC48D" w:rsidR="00970C7B" w:rsidRPr="000959D8" w:rsidRDefault="00970C7B" w:rsidP="00970C7B">
            <w:pPr>
              <w:jc w:val="center"/>
              <w:rPr>
                <w:bCs/>
              </w:rPr>
            </w:pPr>
            <w:r>
              <w:rPr>
                <w:bCs/>
              </w:rPr>
              <w:t>Food and Drink Federation</w:t>
            </w:r>
          </w:p>
        </w:tc>
        <w:tc>
          <w:tcPr>
            <w:tcW w:w="1070" w:type="dxa"/>
            <w:shd w:val="clear" w:color="auto" w:fill="auto"/>
            <w:vAlign w:val="center"/>
          </w:tcPr>
          <w:p w14:paraId="55A2DDB4" w14:textId="73496531" w:rsidR="00970C7B" w:rsidRPr="00146E9F" w:rsidRDefault="00970C7B" w:rsidP="00970C7B">
            <w:pPr>
              <w:jc w:val="center"/>
              <w:rPr>
                <w:b/>
                <w:bCs/>
                <w:u w:val="single"/>
              </w:rPr>
            </w:pPr>
            <w:r>
              <w:t>Email</w:t>
            </w:r>
          </w:p>
        </w:tc>
        <w:tc>
          <w:tcPr>
            <w:tcW w:w="7696" w:type="dxa"/>
            <w:shd w:val="clear" w:color="auto" w:fill="auto"/>
          </w:tcPr>
          <w:p w14:paraId="79B34111" w14:textId="2325BBDF" w:rsidR="00970C7B" w:rsidRDefault="00970C7B" w:rsidP="00970C7B">
            <w:pPr>
              <w:rPr>
                <w:color w:val="auto"/>
                <w:sz w:val="22"/>
                <w:szCs w:val="22"/>
              </w:rPr>
            </w:pPr>
            <w:r>
              <w:t>With respect to the estimates of familiarisation costs to industry, members have highlighted that these do not include the costs relating to the time spent in discussion with suppliers regarding the requirements of the regulation and in particular the requirements of the Declaration of Compliance</w:t>
            </w:r>
            <w:r w:rsidR="00AB7711">
              <w:t>.</w:t>
            </w:r>
          </w:p>
          <w:p w14:paraId="6420236C" w14:textId="77777777" w:rsidR="00970C7B" w:rsidRPr="00146E9F" w:rsidRDefault="00970C7B" w:rsidP="00970C7B">
            <w:pPr>
              <w:rPr>
                <w:b/>
                <w:bCs/>
                <w:u w:val="single"/>
              </w:rPr>
            </w:pPr>
          </w:p>
        </w:tc>
        <w:tc>
          <w:tcPr>
            <w:tcW w:w="3651" w:type="dxa"/>
            <w:shd w:val="clear" w:color="auto" w:fill="auto"/>
          </w:tcPr>
          <w:p w14:paraId="74529767" w14:textId="383E1074" w:rsidR="00970C7B" w:rsidRPr="00332B91" w:rsidRDefault="00970C7B" w:rsidP="00970C7B">
            <w:pPr>
              <w:rPr>
                <w:bCs/>
              </w:rPr>
            </w:pPr>
            <w:r w:rsidRPr="00332B91">
              <w:rPr>
                <w:bCs/>
              </w:rPr>
              <w:t>The FSA</w:t>
            </w:r>
            <w:r>
              <w:rPr>
                <w:bCs/>
              </w:rPr>
              <w:t xml:space="preserve"> notes the comments on exclusion of costs in relation to discussions with suppliers. The estimated costs have been adequately captured for the UK industry as discussions with suppliers would be considered part of standard business to business dealings and under existing regulations, it is down to each actor in the supply chain to be aware of its responsibilities. </w:t>
            </w:r>
            <w:r w:rsidR="009508FA">
              <w:rPr>
                <w:bCs/>
              </w:rPr>
              <w:t xml:space="preserve">This </w:t>
            </w:r>
            <w:r w:rsidR="009508FA">
              <w:rPr>
                <w:bCs/>
              </w:rPr>
              <w:lastRenderedPageBreak/>
              <w:t>consultation will have also provided useful information regarding details of new or amended EU Regulations that would be directly applicable to industry.</w:t>
            </w:r>
          </w:p>
        </w:tc>
      </w:tr>
      <w:tr w:rsidR="00970C7B" w14:paraId="246BB87F" w14:textId="77777777" w:rsidTr="00146E9F">
        <w:tc>
          <w:tcPr>
            <w:tcW w:w="14674" w:type="dxa"/>
            <w:gridSpan w:val="4"/>
            <w:tcBorders>
              <w:bottom w:val="single" w:sz="4" w:space="0" w:color="auto"/>
            </w:tcBorders>
            <w:shd w:val="clear" w:color="auto" w:fill="BFBFBF" w:themeFill="background1" w:themeFillShade="BF"/>
          </w:tcPr>
          <w:p w14:paraId="48A95D43" w14:textId="661EF5F3" w:rsidR="00970C7B" w:rsidRPr="00D16203" w:rsidRDefault="00970C7B" w:rsidP="00970C7B">
            <w:pPr>
              <w:rPr>
                <w:b/>
                <w:bCs/>
                <w:u w:val="single"/>
              </w:rPr>
            </w:pPr>
            <w:r w:rsidRPr="00D16203">
              <w:rPr>
                <w:b/>
                <w:u w:val="single"/>
              </w:rPr>
              <w:lastRenderedPageBreak/>
              <w:t>Question 6</w:t>
            </w:r>
            <w:r w:rsidRPr="00D16203">
              <w:rPr>
                <w:b/>
              </w:rPr>
              <w:t xml:space="preserve"> We invite stakeholders’ comments on whether our estimates of familiarisation costs to enforcement bodies and official control laboratories (outlined in Table 10) and our assumption that it will take enforcement bodies and official control laboratories one hour to familiarise themselves with the requirements of the EU Regulations, and one hour to disseminate to other members of staff (two hours in total) is reasonable.</w:t>
            </w:r>
          </w:p>
        </w:tc>
      </w:tr>
      <w:tr w:rsidR="00970C7B" w14:paraId="20816479" w14:textId="77777777" w:rsidTr="00970C7B">
        <w:tc>
          <w:tcPr>
            <w:tcW w:w="2257" w:type="dxa"/>
            <w:shd w:val="clear" w:color="auto" w:fill="auto"/>
            <w:vAlign w:val="center"/>
          </w:tcPr>
          <w:p w14:paraId="77491117" w14:textId="77777777" w:rsidR="00970C7B" w:rsidRPr="00B1649D" w:rsidRDefault="00970C7B" w:rsidP="00970C7B">
            <w:pPr>
              <w:jc w:val="center"/>
            </w:pPr>
            <w:r w:rsidRPr="00B1649D">
              <w:t>East of England Trading Standards Association</w:t>
            </w:r>
          </w:p>
          <w:p w14:paraId="6054C8FC" w14:textId="77777777" w:rsidR="00970C7B" w:rsidRPr="00D16203" w:rsidRDefault="00970C7B" w:rsidP="00970C7B">
            <w:pPr>
              <w:rPr>
                <w:b/>
                <w:bCs/>
                <w:u w:val="single"/>
              </w:rPr>
            </w:pPr>
          </w:p>
        </w:tc>
        <w:tc>
          <w:tcPr>
            <w:tcW w:w="1070" w:type="dxa"/>
            <w:shd w:val="clear" w:color="auto" w:fill="auto"/>
            <w:vAlign w:val="center"/>
          </w:tcPr>
          <w:p w14:paraId="2FAF4BAE" w14:textId="492188C8" w:rsidR="00970C7B" w:rsidRPr="00D16203" w:rsidRDefault="00970C7B" w:rsidP="00970C7B">
            <w:pPr>
              <w:jc w:val="center"/>
              <w:rPr>
                <w:b/>
                <w:bCs/>
                <w:u w:val="single"/>
              </w:rPr>
            </w:pPr>
            <w:r>
              <w:t>Email</w:t>
            </w:r>
          </w:p>
        </w:tc>
        <w:tc>
          <w:tcPr>
            <w:tcW w:w="7696" w:type="dxa"/>
            <w:shd w:val="clear" w:color="auto" w:fill="auto"/>
          </w:tcPr>
          <w:p w14:paraId="62E3004F" w14:textId="77777777" w:rsidR="00970C7B" w:rsidRPr="000959D8" w:rsidRDefault="00970C7B" w:rsidP="00970C7B">
            <w:pPr>
              <w:jc w:val="both"/>
              <w:rPr>
                <w:iCs/>
                <w:color w:val="auto"/>
                <w:szCs w:val="24"/>
              </w:rPr>
            </w:pPr>
            <w:r w:rsidRPr="000959D8">
              <w:rPr>
                <w:iCs/>
                <w:szCs w:val="24"/>
              </w:rPr>
              <w:t xml:space="preserve">As a group that represents enforcement bodies it is recognised that Commission Regulation (EC) No. 282/2008 (“the Recycling Regulation”) will require audit of recycling processes once authorised.  This will be a highly technical and specialist role that should be designated to a specific LA or body to deliver nationally on behalf of the FSA (go out for tender with the FSA) in order to ensure safety of the final product, consistency and develop expertise. </w:t>
            </w:r>
          </w:p>
          <w:p w14:paraId="398FC226" w14:textId="77777777" w:rsidR="00970C7B" w:rsidRPr="000959D8" w:rsidRDefault="00970C7B" w:rsidP="00970C7B">
            <w:pPr>
              <w:jc w:val="both"/>
              <w:rPr>
                <w:iCs/>
                <w:szCs w:val="24"/>
              </w:rPr>
            </w:pPr>
          </w:p>
          <w:p w14:paraId="5B17F169" w14:textId="13D04B08" w:rsidR="00970C7B" w:rsidRPr="000959D8" w:rsidRDefault="00970C7B" w:rsidP="00970C7B">
            <w:pPr>
              <w:jc w:val="both"/>
              <w:rPr>
                <w:iCs/>
                <w:szCs w:val="24"/>
              </w:rPr>
            </w:pPr>
            <w:r w:rsidRPr="000959D8">
              <w:rPr>
                <w:iCs/>
                <w:szCs w:val="24"/>
              </w:rPr>
              <w:t xml:space="preserve">In </w:t>
            </w:r>
            <w:r w:rsidR="00001470" w:rsidRPr="000959D8">
              <w:rPr>
                <w:iCs/>
                <w:szCs w:val="24"/>
              </w:rPr>
              <w:t>addition,</w:t>
            </w:r>
            <w:r>
              <w:rPr>
                <w:iCs/>
                <w:szCs w:val="24"/>
              </w:rPr>
              <w:t xml:space="preserve"> </w:t>
            </w:r>
            <w:r w:rsidRPr="000959D8">
              <w:rPr>
                <w:iCs/>
                <w:szCs w:val="24"/>
              </w:rPr>
              <w:t>we are unable to agree ‘that the additional burden on enforcement authorities is likely to be minimal, if not negligible.’ All food officers will need to be trained in the changes, implement new policies and procedures for the introduction of Compliance Notices, redraft business advice leaflets</w:t>
            </w:r>
            <w:r>
              <w:rPr>
                <w:iCs/>
                <w:szCs w:val="24"/>
              </w:rPr>
              <w:t xml:space="preserve"> on FCM </w:t>
            </w:r>
            <w:r w:rsidRPr="000959D8">
              <w:rPr>
                <w:iCs/>
                <w:szCs w:val="24"/>
              </w:rPr>
              <w:t>and if left to audit recycling process required to become competent in this highly specialis</w:t>
            </w:r>
            <w:r>
              <w:rPr>
                <w:iCs/>
                <w:szCs w:val="24"/>
              </w:rPr>
              <w:t>t and scientific area. A much l</w:t>
            </w:r>
            <w:r w:rsidRPr="000959D8">
              <w:rPr>
                <w:iCs/>
                <w:szCs w:val="24"/>
              </w:rPr>
              <w:t>onger and more complicated process than the two hours that is suggested.</w:t>
            </w:r>
          </w:p>
          <w:p w14:paraId="40953F88" w14:textId="77777777" w:rsidR="00970C7B" w:rsidRPr="000959D8" w:rsidRDefault="00970C7B" w:rsidP="00970C7B">
            <w:pPr>
              <w:jc w:val="both"/>
              <w:rPr>
                <w:iCs/>
                <w:szCs w:val="24"/>
              </w:rPr>
            </w:pPr>
          </w:p>
          <w:p w14:paraId="38B31DF2" w14:textId="4A02C842" w:rsidR="00970C7B" w:rsidRPr="000959D8" w:rsidRDefault="00970C7B" w:rsidP="00970C7B">
            <w:pPr>
              <w:jc w:val="both"/>
              <w:rPr>
                <w:iCs/>
                <w:szCs w:val="24"/>
              </w:rPr>
            </w:pPr>
            <w:r w:rsidRPr="000959D8">
              <w:rPr>
                <w:iCs/>
                <w:szCs w:val="24"/>
              </w:rPr>
              <w:t xml:space="preserve">In support of this it has been suggested that the FSA should provide LA enforcement officers with free or low cost training on Food Contact Materials to improve awareness, consistency and enforcement, which was previously identified as the first recommendation in FVO Mission Report ref. DG(SANCO)/2009-8170-MR carried out in October 2009 </w:t>
            </w:r>
            <w:r w:rsidR="00D73033">
              <w:rPr>
                <w:iCs/>
                <w:szCs w:val="24"/>
              </w:rPr>
              <w:lastRenderedPageBreak/>
              <w:t>namely, ‘</w:t>
            </w:r>
            <w:r w:rsidRPr="000959D8">
              <w:rPr>
                <w:iCs/>
                <w:szCs w:val="24"/>
              </w:rPr>
              <w:t>Ensure that all staff of the local authorities keep up to date in their area of competence, particularly regarding the declaration of compliance for food contact materials,…..as required by Article 6 of Regulation (EC) 882/2004.’</w:t>
            </w:r>
          </w:p>
          <w:p w14:paraId="72F72DC5" w14:textId="77777777" w:rsidR="00970C7B" w:rsidRPr="000959D8" w:rsidRDefault="00970C7B" w:rsidP="00970C7B">
            <w:pPr>
              <w:rPr>
                <w:b/>
                <w:bCs/>
                <w:u w:val="single"/>
              </w:rPr>
            </w:pPr>
          </w:p>
        </w:tc>
        <w:tc>
          <w:tcPr>
            <w:tcW w:w="3651" w:type="dxa"/>
            <w:shd w:val="clear" w:color="auto" w:fill="auto"/>
          </w:tcPr>
          <w:p w14:paraId="4DB934F7" w14:textId="7C4B0C8C" w:rsidR="00970C7B" w:rsidRDefault="00970C7B" w:rsidP="00970C7B">
            <w:pPr>
              <w:rPr>
                <w:bCs/>
              </w:rPr>
            </w:pPr>
            <w:r>
              <w:rPr>
                <w:bCs/>
              </w:rPr>
              <w:lastRenderedPageBreak/>
              <w:t>The FSA is developing a national strategy for the auditing of recycling processes which is not envisaged to involve enforcement officers at the local authority level.</w:t>
            </w:r>
          </w:p>
          <w:p w14:paraId="7BD4C456" w14:textId="2C7D2096" w:rsidR="00970C7B" w:rsidRDefault="00970C7B" w:rsidP="00970C7B">
            <w:pPr>
              <w:rPr>
                <w:bCs/>
              </w:rPr>
            </w:pPr>
          </w:p>
          <w:p w14:paraId="502CEDC6" w14:textId="139CA875" w:rsidR="00970C7B" w:rsidRDefault="004D2971" w:rsidP="00970C7B">
            <w:pPr>
              <w:rPr>
                <w:bCs/>
              </w:rPr>
            </w:pPr>
            <w:r w:rsidRPr="009E52B2">
              <w:rPr>
                <w:bCs/>
              </w:rPr>
              <w:t>Noted</w:t>
            </w:r>
            <w:r w:rsidRPr="00001470">
              <w:rPr>
                <w:bCs/>
              </w:rPr>
              <w:t>.</w:t>
            </w:r>
            <w:r w:rsidRPr="00001470">
              <w:rPr>
                <w:b/>
                <w:bCs/>
              </w:rPr>
              <w:t xml:space="preserve"> </w:t>
            </w:r>
            <w:r w:rsidRPr="00001470">
              <w:rPr>
                <w:bCs/>
              </w:rPr>
              <w:t>The</w:t>
            </w:r>
            <w:r>
              <w:rPr>
                <w:bCs/>
              </w:rPr>
              <w:t xml:space="preserve"> FSA will consider the merits of increasing awareness of food contact material enforcement requirements.</w:t>
            </w:r>
          </w:p>
          <w:p w14:paraId="3E6B1145" w14:textId="0752D8A7" w:rsidR="00970C7B" w:rsidRDefault="00970C7B" w:rsidP="00970C7B">
            <w:pPr>
              <w:rPr>
                <w:bCs/>
              </w:rPr>
            </w:pPr>
          </w:p>
          <w:p w14:paraId="7345D3E7" w14:textId="77777777" w:rsidR="00970C7B" w:rsidRDefault="00970C7B" w:rsidP="00970C7B">
            <w:pPr>
              <w:rPr>
                <w:bCs/>
              </w:rPr>
            </w:pPr>
          </w:p>
          <w:p w14:paraId="07CD6F0D" w14:textId="77777777" w:rsidR="00970C7B" w:rsidRDefault="00970C7B" w:rsidP="00970C7B">
            <w:pPr>
              <w:rPr>
                <w:bCs/>
              </w:rPr>
            </w:pPr>
          </w:p>
          <w:p w14:paraId="37B1920E" w14:textId="77777777" w:rsidR="00970C7B" w:rsidRDefault="00970C7B" w:rsidP="00970C7B">
            <w:pPr>
              <w:rPr>
                <w:bCs/>
              </w:rPr>
            </w:pPr>
          </w:p>
          <w:p w14:paraId="66EE36B8" w14:textId="77777777" w:rsidR="00970C7B" w:rsidRDefault="00970C7B" w:rsidP="00970C7B">
            <w:pPr>
              <w:rPr>
                <w:bCs/>
              </w:rPr>
            </w:pPr>
          </w:p>
          <w:p w14:paraId="74039361" w14:textId="77777777" w:rsidR="00970C7B" w:rsidRDefault="00970C7B" w:rsidP="00970C7B">
            <w:pPr>
              <w:rPr>
                <w:bCs/>
              </w:rPr>
            </w:pPr>
          </w:p>
          <w:p w14:paraId="43975AC1" w14:textId="5BB619AB" w:rsidR="00970C7B" w:rsidRPr="00332B91" w:rsidRDefault="00970C7B" w:rsidP="00970C7B">
            <w:pPr>
              <w:rPr>
                <w:bCs/>
              </w:rPr>
            </w:pPr>
          </w:p>
        </w:tc>
      </w:tr>
      <w:tr w:rsidR="00970C7B" w14:paraId="45E3B5DA" w14:textId="77777777" w:rsidTr="00970C7B">
        <w:tc>
          <w:tcPr>
            <w:tcW w:w="2257" w:type="dxa"/>
            <w:shd w:val="clear" w:color="auto" w:fill="auto"/>
            <w:vAlign w:val="center"/>
          </w:tcPr>
          <w:p w14:paraId="0E000071" w14:textId="0B0915AB" w:rsidR="00970C7B" w:rsidRPr="00D16203" w:rsidRDefault="00970C7B" w:rsidP="00970C7B">
            <w:pPr>
              <w:jc w:val="center"/>
              <w:rPr>
                <w:b/>
                <w:bCs/>
                <w:u w:val="single"/>
              </w:rPr>
            </w:pPr>
            <w:r>
              <w:rPr>
                <w:bCs/>
              </w:rPr>
              <w:t>Food and Drink Federation</w:t>
            </w:r>
          </w:p>
        </w:tc>
        <w:tc>
          <w:tcPr>
            <w:tcW w:w="1070" w:type="dxa"/>
            <w:shd w:val="clear" w:color="auto" w:fill="auto"/>
            <w:vAlign w:val="center"/>
          </w:tcPr>
          <w:p w14:paraId="311D999C" w14:textId="771D8842" w:rsidR="00970C7B" w:rsidRPr="00D16203" w:rsidRDefault="00970C7B" w:rsidP="00970C7B">
            <w:pPr>
              <w:jc w:val="center"/>
              <w:rPr>
                <w:b/>
                <w:bCs/>
                <w:u w:val="single"/>
              </w:rPr>
            </w:pPr>
            <w:r>
              <w:t>Email</w:t>
            </w:r>
          </w:p>
        </w:tc>
        <w:tc>
          <w:tcPr>
            <w:tcW w:w="7696" w:type="dxa"/>
            <w:shd w:val="clear" w:color="auto" w:fill="auto"/>
            <w:vAlign w:val="center"/>
          </w:tcPr>
          <w:p w14:paraId="579AD61A" w14:textId="249807A5" w:rsidR="00970C7B" w:rsidRPr="00D16203" w:rsidRDefault="00970C7B" w:rsidP="00970C7B">
            <w:pPr>
              <w:rPr>
                <w:b/>
                <w:bCs/>
                <w:u w:val="single"/>
              </w:rPr>
            </w:pPr>
            <w:r w:rsidRPr="00332B91">
              <w:rPr>
                <w:bCs/>
              </w:rPr>
              <w:t>No comments received</w:t>
            </w:r>
            <w:r w:rsidR="00AB7711">
              <w:rPr>
                <w:bCs/>
              </w:rPr>
              <w:t>.</w:t>
            </w:r>
          </w:p>
        </w:tc>
        <w:tc>
          <w:tcPr>
            <w:tcW w:w="3651" w:type="dxa"/>
            <w:shd w:val="clear" w:color="auto" w:fill="auto"/>
          </w:tcPr>
          <w:p w14:paraId="5FC28E8E" w14:textId="12DB9C18" w:rsidR="00970C7B" w:rsidRPr="00D16203" w:rsidRDefault="00970C7B" w:rsidP="00970C7B">
            <w:pPr>
              <w:rPr>
                <w:b/>
                <w:bCs/>
                <w:u w:val="single"/>
              </w:rPr>
            </w:pPr>
          </w:p>
        </w:tc>
      </w:tr>
      <w:tr w:rsidR="00970C7B" w14:paraId="6A962563" w14:textId="77777777" w:rsidTr="00146E9F">
        <w:tc>
          <w:tcPr>
            <w:tcW w:w="14674" w:type="dxa"/>
            <w:gridSpan w:val="4"/>
            <w:tcBorders>
              <w:bottom w:val="single" w:sz="4" w:space="0" w:color="auto"/>
            </w:tcBorders>
            <w:shd w:val="clear" w:color="auto" w:fill="BFBFBF" w:themeFill="background1" w:themeFillShade="BF"/>
          </w:tcPr>
          <w:p w14:paraId="15CCBDB2" w14:textId="7B83B1DB" w:rsidR="00970C7B" w:rsidRPr="00D16203" w:rsidRDefault="00970C7B" w:rsidP="00970C7B">
            <w:pPr>
              <w:rPr>
                <w:b/>
                <w:bCs/>
                <w:u w:val="single"/>
              </w:rPr>
            </w:pPr>
            <w:r w:rsidRPr="00D16203">
              <w:rPr>
                <w:b/>
                <w:bCs/>
                <w:u w:val="single"/>
              </w:rPr>
              <w:t xml:space="preserve">Question 8 </w:t>
            </w:r>
            <w:r w:rsidRPr="00D16203">
              <w:rPr>
                <w:b/>
              </w:rPr>
              <w:t>We invite stakeholders’ comments on whether or not you agree with our assumption that there will not be a significant impact on small or microbusinesses as a result of this legislation.</w:t>
            </w:r>
          </w:p>
        </w:tc>
      </w:tr>
      <w:tr w:rsidR="00970C7B" w14:paraId="4A9ED6EA" w14:textId="77777777" w:rsidTr="00970C7B">
        <w:tc>
          <w:tcPr>
            <w:tcW w:w="2257" w:type="dxa"/>
            <w:shd w:val="clear" w:color="auto" w:fill="auto"/>
            <w:vAlign w:val="center"/>
          </w:tcPr>
          <w:p w14:paraId="6688F4BB" w14:textId="77777777" w:rsidR="00970C7B" w:rsidRPr="00B1649D" w:rsidRDefault="00970C7B" w:rsidP="00970C7B">
            <w:pPr>
              <w:jc w:val="center"/>
            </w:pPr>
            <w:r w:rsidRPr="00B1649D">
              <w:t>East of England Trading Standards Association</w:t>
            </w:r>
          </w:p>
          <w:p w14:paraId="04BCC9A2" w14:textId="77777777" w:rsidR="00970C7B" w:rsidRPr="000959D8" w:rsidRDefault="00970C7B" w:rsidP="00970C7B"/>
        </w:tc>
        <w:tc>
          <w:tcPr>
            <w:tcW w:w="1070" w:type="dxa"/>
            <w:shd w:val="clear" w:color="auto" w:fill="auto"/>
            <w:vAlign w:val="center"/>
          </w:tcPr>
          <w:p w14:paraId="59901162" w14:textId="2F2188DE" w:rsidR="00970C7B" w:rsidRPr="000959D8" w:rsidRDefault="00970C7B" w:rsidP="00970C7B">
            <w:pPr>
              <w:jc w:val="center"/>
            </w:pPr>
            <w:r>
              <w:t>Email</w:t>
            </w:r>
          </w:p>
        </w:tc>
        <w:tc>
          <w:tcPr>
            <w:tcW w:w="7696" w:type="dxa"/>
            <w:shd w:val="clear" w:color="auto" w:fill="auto"/>
          </w:tcPr>
          <w:p w14:paraId="3C4C2BC8" w14:textId="516E30D6" w:rsidR="00970C7B" w:rsidRPr="000959D8" w:rsidRDefault="00970C7B" w:rsidP="00970C7B">
            <w:pPr>
              <w:jc w:val="both"/>
              <w:rPr>
                <w:iCs/>
                <w:color w:val="auto"/>
                <w:szCs w:val="24"/>
              </w:rPr>
            </w:pPr>
            <w:r>
              <w:rPr>
                <w:iCs/>
                <w:szCs w:val="24"/>
              </w:rPr>
              <w:t>It is </w:t>
            </w:r>
            <w:r w:rsidRPr="000959D8">
              <w:rPr>
                <w:iCs/>
                <w:szCs w:val="24"/>
              </w:rPr>
              <w:t xml:space="preserve">believed this will not be a significant impact on small businesses as it's something they should already be aware of - raising knowledge of the requirements should assist everyone. </w:t>
            </w:r>
            <w:r w:rsidR="00F60894" w:rsidRPr="000959D8">
              <w:rPr>
                <w:iCs/>
                <w:szCs w:val="24"/>
              </w:rPr>
              <w:t>However,</w:t>
            </w:r>
            <w:r w:rsidRPr="000959D8">
              <w:rPr>
                <w:iCs/>
                <w:szCs w:val="24"/>
              </w:rPr>
              <w:t xml:space="preserve"> businesses should be in a better position to answer this one.</w:t>
            </w:r>
          </w:p>
          <w:p w14:paraId="06F7CC06" w14:textId="77777777" w:rsidR="00970C7B" w:rsidRPr="000959D8" w:rsidRDefault="00970C7B" w:rsidP="00970C7B">
            <w:pPr>
              <w:rPr>
                <w:b/>
                <w:bCs/>
                <w:u w:val="single"/>
              </w:rPr>
            </w:pPr>
          </w:p>
        </w:tc>
        <w:tc>
          <w:tcPr>
            <w:tcW w:w="3651" w:type="dxa"/>
            <w:shd w:val="clear" w:color="auto" w:fill="auto"/>
            <w:vAlign w:val="center"/>
          </w:tcPr>
          <w:p w14:paraId="7D4B3E38" w14:textId="0784B6CB" w:rsidR="00970C7B" w:rsidRPr="00970C7B" w:rsidRDefault="00970C7B" w:rsidP="00970C7B">
            <w:pPr>
              <w:jc w:val="center"/>
              <w:rPr>
                <w:bCs/>
              </w:rPr>
            </w:pPr>
            <w:r w:rsidRPr="00970C7B">
              <w:rPr>
                <w:bCs/>
              </w:rPr>
              <w:t>Noted</w:t>
            </w:r>
            <w:r>
              <w:rPr>
                <w:bCs/>
              </w:rPr>
              <w:t xml:space="preserve"> – there is no evidence to suggest otherwise.</w:t>
            </w:r>
          </w:p>
        </w:tc>
      </w:tr>
      <w:tr w:rsidR="00970C7B" w14:paraId="1305BEA6" w14:textId="77777777" w:rsidTr="00970C7B">
        <w:tc>
          <w:tcPr>
            <w:tcW w:w="2257" w:type="dxa"/>
            <w:shd w:val="clear" w:color="auto" w:fill="auto"/>
            <w:vAlign w:val="center"/>
          </w:tcPr>
          <w:p w14:paraId="6D9925F7" w14:textId="3041178F" w:rsidR="00970C7B" w:rsidRPr="000959D8" w:rsidRDefault="00970C7B" w:rsidP="00970C7B">
            <w:pPr>
              <w:jc w:val="center"/>
            </w:pPr>
            <w:r>
              <w:rPr>
                <w:bCs/>
              </w:rPr>
              <w:t>Food and Drink Federation</w:t>
            </w:r>
          </w:p>
        </w:tc>
        <w:tc>
          <w:tcPr>
            <w:tcW w:w="1070" w:type="dxa"/>
            <w:shd w:val="clear" w:color="auto" w:fill="auto"/>
            <w:vAlign w:val="center"/>
          </w:tcPr>
          <w:p w14:paraId="275264E6" w14:textId="0EDC51E7" w:rsidR="00970C7B" w:rsidRPr="000959D8" w:rsidRDefault="00970C7B" w:rsidP="00970C7B">
            <w:pPr>
              <w:jc w:val="center"/>
            </w:pPr>
            <w:r>
              <w:t>Email</w:t>
            </w:r>
          </w:p>
        </w:tc>
        <w:tc>
          <w:tcPr>
            <w:tcW w:w="7696" w:type="dxa"/>
            <w:shd w:val="clear" w:color="auto" w:fill="auto"/>
            <w:vAlign w:val="center"/>
          </w:tcPr>
          <w:p w14:paraId="1EF5A240" w14:textId="406A5A88" w:rsidR="00970C7B" w:rsidRPr="00146E9F" w:rsidRDefault="00970C7B" w:rsidP="00970C7B">
            <w:pPr>
              <w:rPr>
                <w:b/>
                <w:bCs/>
                <w:u w:val="single"/>
              </w:rPr>
            </w:pPr>
            <w:r w:rsidRPr="00332B91">
              <w:rPr>
                <w:bCs/>
              </w:rPr>
              <w:t>No comments received</w:t>
            </w:r>
            <w:r w:rsidR="00AB7711">
              <w:rPr>
                <w:bCs/>
              </w:rPr>
              <w:t>.</w:t>
            </w:r>
          </w:p>
        </w:tc>
        <w:tc>
          <w:tcPr>
            <w:tcW w:w="3651" w:type="dxa"/>
            <w:shd w:val="clear" w:color="auto" w:fill="auto"/>
          </w:tcPr>
          <w:p w14:paraId="349353E1" w14:textId="4DCA8690" w:rsidR="00970C7B" w:rsidRPr="00146E9F" w:rsidRDefault="00970C7B" w:rsidP="00970C7B">
            <w:pPr>
              <w:rPr>
                <w:b/>
                <w:bCs/>
                <w:u w:val="single"/>
              </w:rPr>
            </w:pPr>
          </w:p>
        </w:tc>
      </w:tr>
      <w:tr w:rsidR="00970C7B" w14:paraId="35EF3EEC" w14:textId="77777777" w:rsidTr="00146E9F">
        <w:tc>
          <w:tcPr>
            <w:tcW w:w="14674" w:type="dxa"/>
            <w:gridSpan w:val="4"/>
            <w:tcBorders>
              <w:bottom w:val="single" w:sz="4" w:space="0" w:color="auto"/>
            </w:tcBorders>
            <w:shd w:val="clear" w:color="auto" w:fill="BFBFBF" w:themeFill="background1" w:themeFillShade="BF"/>
          </w:tcPr>
          <w:p w14:paraId="1D252AFF" w14:textId="1D3723BB" w:rsidR="00970C7B" w:rsidRPr="00D16203" w:rsidRDefault="00970C7B" w:rsidP="00970C7B">
            <w:pPr>
              <w:rPr>
                <w:b/>
                <w:bCs/>
                <w:u w:val="single"/>
              </w:rPr>
            </w:pPr>
            <w:r w:rsidRPr="00D16203">
              <w:rPr>
                <w:b/>
                <w:u w:val="single"/>
              </w:rPr>
              <w:t>Question 9</w:t>
            </w:r>
            <w:r w:rsidRPr="00D16203">
              <w:rPr>
                <w:b/>
              </w:rPr>
              <w:t xml:space="preserve"> We welcome stakeholders’ comments on whether you are aware of any other impacts as a result of the EU Regulations and national Regulation?</w:t>
            </w:r>
          </w:p>
        </w:tc>
      </w:tr>
      <w:tr w:rsidR="00970C7B" w14:paraId="5BDC6B33" w14:textId="77777777" w:rsidTr="00970C7B">
        <w:tc>
          <w:tcPr>
            <w:tcW w:w="2257" w:type="dxa"/>
            <w:shd w:val="clear" w:color="auto" w:fill="auto"/>
            <w:vAlign w:val="center"/>
          </w:tcPr>
          <w:p w14:paraId="1884056C" w14:textId="77777777" w:rsidR="00970C7B" w:rsidRPr="00B1649D" w:rsidRDefault="00970C7B" w:rsidP="00970C7B">
            <w:pPr>
              <w:jc w:val="center"/>
            </w:pPr>
            <w:r w:rsidRPr="00B1649D">
              <w:t>East of England Trading Standards Association</w:t>
            </w:r>
          </w:p>
          <w:p w14:paraId="0043B8A0" w14:textId="77777777" w:rsidR="00970C7B" w:rsidRPr="00D16203" w:rsidRDefault="00970C7B" w:rsidP="00970C7B">
            <w:pPr>
              <w:jc w:val="center"/>
              <w:rPr>
                <w:b/>
                <w:bCs/>
                <w:u w:val="single"/>
              </w:rPr>
            </w:pPr>
          </w:p>
        </w:tc>
        <w:tc>
          <w:tcPr>
            <w:tcW w:w="1070" w:type="dxa"/>
            <w:shd w:val="clear" w:color="auto" w:fill="auto"/>
            <w:vAlign w:val="center"/>
          </w:tcPr>
          <w:p w14:paraId="410E8AEC" w14:textId="1BD0BE34" w:rsidR="00970C7B" w:rsidRPr="00D16203" w:rsidRDefault="00970C7B" w:rsidP="00970C7B">
            <w:pPr>
              <w:jc w:val="center"/>
              <w:rPr>
                <w:b/>
                <w:bCs/>
                <w:u w:val="single"/>
              </w:rPr>
            </w:pPr>
            <w:r>
              <w:t>Email</w:t>
            </w:r>
          </w:p>
        </w:tc>
        <w:tc>
          <w:tcPr>
            <w:tcW w:w="7696" w:type="dxa"/>
            <w:shd w:val="clear" w:color="auto" w:fill="auto"/>
          </w:tcPr>
          <w:p w14:paraId="1FDE896E" w14:textId="77777777" w:rsidR="00970C7B" w:rsidRPr="000959D8" w:rsidRDefault="00970C7B" w:rsidP="00970C7B">
            <w:pPr>
              <w:jc w:val="both"/>
              <w:rPr>
                <w:iCs/>
                <w:color w:val="auto"/>
                <w:szCs w:val="24"/>
              </w:rPr>
            </w:pPr>
            <w:r w:rsidRPr="000959D8">
              <w:rPr>
                <w:iCs/>
                <w:szCs w:val="24"/>
              </w:rPr>
              <w:t>There should be a better information exchange between Port Health and inland authorities about importers of FCM and failures of samples at Ports.</w:t>
            </w:r>
          </w:p>
          <w:p w14:paraId="374AFA35" w14:textId="77777777" w:rsidR="00970C7B" w:rsidRPr="000959D8" w:rsidRDefault="00970C7B" w:rsidP="00970C7B">
            <w:pPr>
              <w:jc w:val="both"/>
              <w:rPr>
                <w:szCs w:val="24"/>
              </w:rPr>
            </w:pPr>
          </w:p>
          <w:p w14:paraId="526D9467" w14:textId="46AF561C" w:rsidR="00970C7B" w:rsidRPr="000959D8" w:rsidRDefault="00970C7B" w:rsidP="00970C7B">
            <w:pPr>
              <w:jc w:val="both"/>
              <w:rPr>
                <w:iCs/>
                <w:sz w:val="40"/>
                <w:szCs w:val="40"/>
                <w:lang w:eastAsia="en-US"/>
              </w:rPr>
            </w:pPr>
            <w:r w:rsidRPr="000959D8">
              <w:rPr>
                <w:iCs/>
                <w:szCs w:val="24"/>
              </w:rPr>
              <w:t>In addition</w:t>
            </w:r>
            <w:r w:rsidR="00001470">
              <w:rPr>
                <w:iCs/>
                <w:szCs w:val="24"/>
              </w:rPr>
              <w:t>,</w:t>
            </w:r>
            <w:r w:rsidRPr="000959D8">
              <w:rPr>
                <w:iCs/>
                <w:szCs w:val="24"/>
              </w:rPr>
              <w:t xml:space="preserve"> we welcome the consolidation of the different Regulations for now – inevitably there will be other changes in the future that consolidation will not keep up with particularly following EU exit when UK law diverges from EU law, therefore it is just as valuable for the FSA to maintain legislative sources and guidance notes for enforcement officers to help as and when FCM matters arise.  As discussed this is a technical and scientific area which many</w:t>
            </w:r>
            <w:r>
              <w:rPr>
                <w:iCs/>
                <w:szCs w:val="24"/>
              </w:rPr>
              <w:t xml:space="preserve"> officers do not currently have </w:t>
            </w:r>
            <w:r w:rsidRPr="000959D8">
              <w:rPr>
                <w:iCs/>
                <w:szCs w:val="24"/>
              </w:rPr>
              <w:t>a good grasp of</w:t>
            </w:r>
            <w:r w:rsidRPr="00FF1906">
              <w:rPr>
                <w:iCs/>
                <w:szCs w:val="24"/>
              </w:rPr>
              <w:t>.</w:t>
            </w:r>
          </w:p>
          <w:p w14:paraId="65F44D6F" w14:textId="77777777" w:rsidR="00970C7B" w:rsidRPr="000959D8" w:rsidRDefault="00970C7B" w:rsidP="00970C7B">
            <w:pPr>
              <w:rPr>
                <w:b/>
                <w:bCs/>
                <w:u w:val="single"/>
              </w:rPr>
            </w:pPr>
          </w:p>
        </w:tc>
        <w:tc>
          <w:tcPr>
            <w:tcW w:w="3651" w:type="dxa"/>
            <w:shd w:val="clear" w:color="auto" w:fill="auto"/>
          </w:tcPr>
          <w:p w14:paraId="364DA5BF" w14:textId="147B9114" w:rsidR="00970C7B" w:rsidRPr="00970C7B" w:rsidRDefault="00970C7B" w:rsidP="00970C7B">
            <w:pPr>
              <w:rPr>
                <w:bCs/>
              </w:rPr>
            </w:pPr>
            <w:r w:rsidRPr="00970C7B">
              <w:rPr>
                <w:bCs/>
              </w:rPr>
              <w:t>Noted – However these comments are not relevant in relation to food contact materials legislation.</w:t>
            </w:r>
          </w:p>
        </w:tc>
      </w:tr>
      <w:tr w:rsidR="00970C7B" w14:paraId="2D2A26FE" w14:textId="77777777" w:rsidTr="00970C7B">
        <w:tc>
          <w:tcPr>
            <w:tcW w:w="2257" w:type="dxa"/>
            <w:shd w:val="clear" w:color="auto" w:fill="auto"/>
            <w:vAlign w:val="center"/>
          </w:tcPr>
          <w:p w14:paraId="4066CC9E" w14:textId="266A3AA0" w:rsidR="00970C7B" w:rsidRPr="00D16203" w:rsidRDefault="00970C7B" w:rsidP="00970C7B">
            <w:pPr>
              <w:jc w:val="center"/>
              <w:rPr>
                <w:b/>
                <w:bCs/>
                <w:u w:val="single"/>
              </w:rPr>
            </w:pPr>
            <w:r>
              <w:rPr>
                <w:bCs/>
              </w:rPr>
              <w:lastRenderedPageBreak/>
              <w:t>Food and Drink Federation</w:t>
            </w:r>
          </w:p>
        </w:tc>
        <w:tc>
          <w:tcPr>
            <w:tcW w:w="1070" w:type="dxa"/>
            <w:shd w:val="clear" w:color="auto" w:fill="auto"/>
            <w:vAlign w:val="center"/>
          </w:tcPr>
          <w:p w14:paraId="42C49394" w14:textId="32AAED77" w:rsidR="00970C7B" w:rsidRPr="00D16203" w:rsidRDefault="00970C7B" w:rsidP="00970C7B">
            <w:pPr>
              <w:jc w:val="center"/>
              <w:rPr>
                <w:b/>
                <w:bCs/>
                <w:u w:val="single"/>
              </w:rPr>
            </w:pPr>
            <w:r>
              <w:t>Email</w:t>
            </w:r>
          </w:p>
        </w:tc>
        <w:tc>
          <w:tcPr>
            <w:tcW w:w="7696" w:type="dxa"/>
            <w:shd w:val="clear" w:color="auto" w:fill="auto"/>
            <w:vAlign w:val="center"/>
          </w:tcPr>
          <w:p w14:paraId="0A5E67DD" w14:textId="4B1FF8C9" w:rsidR="00970C7B" w:rsidRPr="00D16203" w:rsidRDefault="00970C7B" w:rsidP="00970C7B">
            <w:pPr>
              <w:rPr>
                <w:b/>
                <w:bCs/>
                <w:u w:val="single"/>
              </w:rPr>
            </w:pPr>
            <w:r w:rsidRPr="00332B91">
              <w:rPr>
                <w:bCs/>
              </w:rPr>
              <w:t>No comments received</w:t>
            </w:r>
            <w:r w:rsidR="00AB7711">
              <w:rPr>
                <w:bCs/>
              </w:rPr>
              <w:t>.</w:t>
            </w:r>
          </w:p>
        </w:tc>
        <w:tc>
          <w:tcPr>
            <w:tcW w:w="3651" w:type="dxa"/>
            <w:shd w:val="clear" w:color="auto" w:fill="auto"/>
          </w:tcPr>
          <w:p w14:paraId="32096310" w14:textId="0F30061A" w:rsidR="00970C7B" w:rsidRPr="00D16203" w:rsidRDefault="00970C7B" w:rsidP="00970C7B">
            <w:pPr>
              <w:rPr>
                <w:b/>
                <w:bCs/>
                <w:u w:val="single"/>
              </w:rPr>
            </w:pPr>
          </w:p>
        </w:tc>
      </w:tr>
    </w:tbl>
    <w:p w14:paraId="71517A99" w14:textId="12A566E7" w:rsidR="00094743" w:rsidRDefault="00094743" w:rsidP="00094743">
      <w:pPr>
        <w:rPr>
          <w:b/>
        </w:rPr>
      </w:pPr>
    </w:p>
    <w:tbl>
      <w:tblPr>
        <w:tblStyle w:val="TableGrid"/>
        <w:tblW w:w="14739" w:type="dxa"/>
        <w:tblLook w:val="04A0" w:firstRow="1" w:lastRow="0" w:firstColumn="1" w:lastColumn="0" w:noHBand="0" w:noVBand="1"/>
      </w:tblPr>
      <w:tblGrid>
        <w:gridCol w:w="2263"/>
        <w:gridCol w:w="1134"/>
        <w:gridCol w:w="7657"/>
        <w:gridCol w:w="3685"/>
      </w:tblGrid>
      <w:tr w:rsidR="00D3209C" w:rsidRPr="00D16203" w14:paraId="05AE577D" w14:textId="77777777" w:rsidTr="00D3209C">
        <w:trPr>
          <w:trHeight w:val="283"/>
        </w:trPr>
        <w:tc>
          <w:tcPr>
            <w:tcW w:w="14739" w:type="dxa"/>
            <w:gridSpan w:val="4"/>
            <w:tcBorders>
              <w:bottom w:val="single" w:sz="4" w:space="0" w:color="auto"/>
            </w:tcBorders>
            <w:shd w:val="clear" w:color="auto" w:fill="BFBFBF" w:themeFill="background1" w:themeFillShade="BF"/>
          </w:tcPr>
          <w:p w14:paraId="075FEA5B" w14:textId="2943DF27" w:rsidR="00D3209C" w:rsidRPr="00D16203" w:rsidRDefault="00D3209C" w:rsidP="00E00F4A">
            <w:pPr>
              <w:rPr>
                <w:b/>
                <w:bCs/>
                <w:u w:val="single"/>
              </w:rPr>
            </w:pPr>
            <w:r>
              <w:rPr>
                <w:b/>
                <w:bCs/>
                <w:u w:val="single"/>
              </w:rPr>
              <w:t>Other comments</w:t>
            </w:r>
          </w:p>
        </w:tc>
      </w:tr>
      <w:tr w:rsidR="00D3209C" w:rsidRPr="00970C7B" w14:paraId="3A1DEE61" w14:textId="77777777" w:rsidTr="00D3209C">
        <w:trPr>
          <w:trHeight w:val="285"/>
        </w:trPr>
        <w:tc>
          <w:tcPr>
            <w:tcW w:w="2263" w:type="dxa"/>
            <w:shd w:val="clear" w:color="auto" w:fill="auto"/>
            <w:vAlign w:val="center"/>
          </w:tcPr>
          <w:p w14:paraId="2775D32A" w14:textId="66E0FC1D" w:rsidR="00D3209C" w:rsidRPr="00970C7B" w:rsidRDefault="004E2B75" w:rsidP="00E00F4A">
            <w:pPr>
              <w:jc w:val="center"/>
              <w:rPr>
                <w:bCs/>
              </w:rPr>
            </w:pPr>
            <w:r>
              <w:rPr>
                <w:bCs/>
              </w:rPr>
              <w:t>Food and Drink Federation</w:t>
            </w:r>
          </w:p>
        </w:tc>
        <w:tc>
          <w:tcPr>
            <w:tcW w:w="1134" w:type="dxa"/>
            <w:shd w:val="clear" w:color="auto" w:fill="auto"/>
            <w:vAlign w:val="center"/>
          </w:tcPr>
          <w:p w14:paraId="6E32ACD9" w14:textId="438AB537" w:rsidR="00D3209C" w:rsidRPr="00970C7B" w:rsidRDefault="00D3209C" w:rsidP="00E00F4A">
            <w:pPr>
              <w:jc w:val="center"/>
              <w:rPr>
                <w:bCs/>
              </w:rPr>
            </w:pPr>
            <w:r>
              <w:rPr>
                <w:bCs/>
              </w:rPr>
              <w:t>Email</w:t>
            </w:r>
          </w:p>
        </w:tc>
        <w:tc>
          <w:tcPr>
            <w:tcW w:w="7657" w:type="dxa"/>
            <w:shd w:val="clear" w:color="auto" w:fill="auto"/>
          </w:tcPr>
          <w:p w14:paraId="336E1DA6" w14:textId="77777777" w:rsidR="00D3209C" w:rsidRDefault="00D3209C" w:rsidP="00D3209C">
            <w:pPr>
              <w:rPr>
                <w:bCs/>
              </w:rPr>
            </w:pPr>
            <w:r>
              <w:rPr>
                <w:bCs/>
              </w:rPr>
              <w:t>Feedback from members indicates they are in agreement that Option 2 – Make appropriate domestic Regulations for the execution and enforcement of Commission Regulation (EC) No. 282/2008, Commission Regulation (EU) No. 2016/1416 and Commission Regulation (EU) No. 2018/213 – is the preferred option.</w:t>
            </w:r>
          </w:p>
          <w:p w14:paraId="291E02AF" w14:textId="77777777" w:rsidR="00D3209C" w:rsidRPr="00970C7B" w:rsidRDefault="00D3209C" w:rsidP="00E00F4A">
            <w:pPr>
              <w:jc w:val="center"/>
              <w:rPr>
                <w:bCs/>
              </w:rPr>
            </w:pPr>
          </w:p>
        </w:tc>
        <w:tc>
          <w:tcPr>
            <w:tcW w:w="3685" w:type="dxa"/>
            <w:shd w:val="clear" w:color="auto" w:fill="auto"/>
            <w:vAlign w:val="center"/>
          </w:tcPr>
          <w:p w14:paraId="5E7E9B70" w14:textId="44B720AA" w:rsidR="00D3209C" w:rsidRPr="00970C7B" w:rsidRDefault="00D3209C" w:rsidP="00E00F4A">
            <w:pPr>
              <w:jc w:val="center"/>
              <w:rPr>
                <w:bCs/>
              </w:rPr>
            </w:pPr>
            <w:r>
              <w:rPr>
                <w:bCs/>
              </w:rPr>
              <w:t>Noted</w:t>
            </w:r>
          </w:p>
        </w:tc>
      </w:tr>
    </w:tbl>
    <w:p w14:paraId="69734D0D" w14:textId="514BE20D" w:rsidR="001740BF" w:rsidRDefault="001740BF" w:rsidP="00094743">
      <w:pPr>
        <w:rPr>
          <w:b/>
        </w:rPr>
      </w:pPr>
    </w:p>
    <w:p w14:paraId="672BEE5A" w14:textId="77777777" w:rsidR="001740BF" w:rsidRDefault="001740BF">
      <w:pPr>
        <w:rPr>
          <w:b/>
        </w:rPr>
      </w:pPr>
      <w:r>
        <w:rPr>
          <w:b/>
        </w:rPr>
        <w:br w:type="page"/>
      </w:r>
    </w:p>
    <w:p w14:paraId="4FC4F084" w14:textId="323CCBFE" w:rsidR="00D3209C" w:rsidRDefault="00A94DE2" w:rsidP="00094743">
      <w:pPr>
        <w:rPr>
          <w:b/>
        </w:rPr>
      </w:pPr>
      <w:r>
        <w:rPr>
          <w:b/>
        </w:rPr>
        <w:lastRenderedPageBreak/>
        <w:t>Annex – Consultation questions for which no responses received</w:t>
      </w:r>
    </w:p>
    <w:p w14:paraId="2BB3B0A9" w14:textId="278D1CA3" w:rsidR="00A94DE2" w:rsidRDefault="00A94DE2" w:rsidP="00094743">
      <w:pPr>
        <w:rPr>
          <w:b/>
        </w:rPr>
      </w:pPr>
    </w:p>
    <w:p w14:paraId="6B905980" w14:textId="33B10682" w:rsidR="00A94DE2" w:rsidRPr="00A94DE2" w:rsidRDefault="00A94DE2" w:rsidP="00A94DE2">
      <w:pPr>
        <w:numPr>
          <w:ilvl w:val="0"/>
          <w:numId w:val="3"/>
        </w:numPr>
        <w:rPr>
          <w:b/>
        </w:rPr>
      </w:pPr>
      <w:r>
        <w:t>We welcome stakeholders’ comments on whether the new migration limit for aluminium from plastics; the lower migration limit for zinc from plastics; and simulant testing for unpeeled fruit and vegetables, is likely to lead to significant costs and whether any other costs are expected as a result of the EU Regulation.</w:t>
      </w:r>
    </w:p>
    <w:p w14:paraId="29537F52" w14:textId="2263CD8C" w:rsidR="00A94DE2" w:rsidRPr="00A94DE2" w:rsidRDefault="00A94DE2" w:rsidP="00A94DE2">
      <w:pPr>
        <w:numPr>
          <w:ilvl w:val="0"/>
          <w:numId w:val="3"/>
        </w:numPr>
        <w:rPr>
          <w:b/>
        </w:rPr>
      </w:pPr>
      <w:r>
        <w:t>We invite stakeholders to comment on our assessment that there may be costs associated with testing to demonstrate compliance with the new migration limits for BPA from coatings and varnishes.</w:t>
      </w:r>
    </w:p>
    <w:p w14:paraId="69D13FFC" w14:textId="5A0E64FF" w:rsidR="00A94DE2" w:rsidRPr="00A94DE2" w:rsidRDefault="00A94DE2" w:rsidP="00A94DE2">
      <w:pPr>
        <w:numPr>
          <w:ilvl w:val="0"/>
          <w:numId w:val="3"/>
        </w:numPr>
        <w:rPr>
          <w:b/>
        </w:rPr>
      </w:pPr>
      <w:r>
        <w:t>We invite stakeholders to comment on whether we have adequately captured the nature of England, Wales and Northern Ireland markets or not. If not, please provide us with an approximation of the number of firms affected and their size in terms of number of employees.</w:t>
      </w:r>
    </w:p>
    <w:p w14:paraId="75456213" w14:textId="4CFE27F0" w:rsidR="00A94DE2" w:rsidRPr="00A87F76" w:rsidRDefault="00A94DE2" w:rsidP="00A94DE2">
      <w:pPr>
        <w:numPr>
          <w:ilvl w:val="0"/>
          <w:numId w:val="4"/>
        </w:numPr>
        <w:rPr>
          <w:b/>
        </w:rPr>
      </w:pPr>
      <w:r>
        <w:t>We welcome stakeholders’ comments on our assessment that there may be benefits to industry for using new substances in the manufacture of plastic materials and articles, and benefits from the removal of the Generic Specific Migration Limit.</w:t>
      </w:r>
    </w:p>
    <w:sectPr w:rsidR="00A94DE2" w:rsidRPr="00A87F76" w:rsidSect="00D16203">
      <w:pgSz w:w="16838" w:h="11906" w:orient="landscape"/>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97D8F"/>
    <w:multiLevelType w:val="hybridMultilevel"/>
    <w:tmpl w:val="33E8A63C"/>
    <w:lvl w:ilvl="0" w:tplc="B2B096BE">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33313"/>
    <w:multiLevelType w:val="hybridMultilevel"/>
    <w:tmpl w:val="390E47AE"/>
    <w:lvl w:ilvl="0" w:tplc="4BCE833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4877FD"/>
    <w:multiLevelType w:val="hybridMultilevel"/>
    <w:tmpl w:val="DAA69554"/>
    <w:lvl w:ilvl="0" w:tplc="2E34D6A8">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BE2F6B"/>
    <w:multiLevelType w:val="hybridMultilevel"/>
    <w:tmpl w:val="D266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76"/>
    <w:rsid w:val="00001470"/>
    <w:rsid w:val="00094743"/>
    <w:rsid w:val="000959D8"/>
    <w:rsid w:val="00146E9F"/>
    <w:rsid w:val="00161EAC"/>
    <w:rsid w:val="00167384"/>
    <w:rsid w:val="001740BF"/>
    <w:rsid w:val="00182E4F"/>
    <w:rsid w:val="00240BA6"/>
    <w:rsid w:val="002840DE"/>
    <w:rsid w:val="002E13E7"/>
    <w:rsid w:val="00332B91"/>
    <w:rsid w:val="0036331A"/>
    <w:rsid w:val="003E3860"/>
    <w:rsid w:val="00437DB3"/>
    <w:rsid w:val="00461996"/>
    <w:rsid w:val="00480C29"/>
    <w:rsid w:val="004D2971"/>
    <w:rsid w:val="004E2B75"/>
    <w:rsid w:val="004F0A3E"/>
    <w:rsid w:val="004F0C3E"/>
    <w:rsid w:val="00544A8B"/>
    <w:rsid w:val="00551C96"/>
    <w:rsid w:val="007130E8"/>
    <w:rsid w:val="007142F0"/>
    <w:rsid w:val="007145BC"/>
    <w:rsid w:val="008118A9"/>
    <w:rsid w:val="0081716F"/>
    <w:rsid w:val="00834540"/>
    <w:rsid w:val="008B7A23"/>
    <w:rsid w:val="008E4BCF"/>
    <w:rsid w:val="009508FA"/>
    <w:rsid w:val="00970C7B"/>
    <w:rsid w:val="0097425B"/>
    <w:rsid w:val="00986CDA"/>
    <w:rsid w:val="00A87F76"/>
    <w:rsid w:val="00A94DE2"/>
    <w:rsid w:val="00AB7711"/>
    <w:rsid w:val="00BA17F6"/>
    <w:rsid w:val="00BD3327"/>
    <w:rsid w:val="00C54290"/>
    <w:rsid w:val="00C56BB8"/>
    <w:rsid w:val="00C63923"/>
    <w:rsid w:val="00D16203"/>
    <w:rsid w:val="00D3209C"/>
    <w:rsid w:val="00D40909"/>
    <w:rsid w:val="00D515BF"/>
    <w:rsid w:val="00D66B0B"/>
    <w:rsid w:val="00D73033"/>
    <w:rsid w:val="00DA6BBB"/>
    <w:rsid w:val="00DB7BF5"/>
    <w:rsid w:val="00DE0737"/>
    <w:rsid w:val="00DE264A"/>
    <w:rsid w:val="00DE5B8E"/>
    <w:rsid w:val="00DE77B8"/>
    <w:rsid w:val="00E363FF"/>
    <w:rsid w:val="00EB7427"/>
    <w:rsid w:val="00EF64A8"/>
    <w:rsid w:val="00F40BAB"/>
    <w:rsid w:val="00F4466A"/>
    <w:rsid w:val="00F47163"/>
    <w:rsid w:val="00F60894"/>
    <w:rsid w:val="00FE66B1"/>
    <w:rsid w:val="00FF0763"/>
    <w:rsid w:val="00FF1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87FE"/>
  <w15:docId w15:val="{5320A5B5-68BB-42D8-9D8B-42B173C2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sz w:val="24"/>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4A8"/>
    <w:pPr>
      <w:spacing w:after="0" w:line="240" w:lineRule="auto"/>
      <w:ind w:left="720"/>
      <w:contextualSpacing/>
    </w:pPr>
    <w:rPr>
      <w:rFonts w:asciiTheme="minorHAnsi" w:eastAsiaTheme="minorHAnsi" w:hAnsiTheme="minorHAnsi" w:cstheme="minorBidi"/>
      <w:color w:val="auto"/>
      <w:sz w:val="22"/>
      <w:szCs w:val="22"/>
      <w:lang w:eastAsia="en-US"/>
    </w:rPr>
  </w:style>
  <w:style w:type="paragraph" w:styleId="BalloonText">
    <w:name w:val="Balloon Text"/>
    <w:basedOn w:val="Normal"/>
    <w:link w:val="BalloonTextChar"/>
    <w:uiPriority w:val="99"/>
    <w:semiHidden/>
    <w:unhideWhenUsed/>
    <w:rsid w:val="00C54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290"/>
    <w:rPr>
      <w:rFonts w:ascii="Tahoma" w:hAnsi="Tahoma" w:cs="Tahoma"/>
      <w:color w:val="000000"/>
      <w:sz w:val="16"/>
      <w:szCs w:val="16"/>
      <w:lang w:eastAsia="en-GB"/>
    </w:rPr>
  </w:style>
  <w:style w:type="character" w:styleId="CommentReference">
    <w:name w:val="annotation reference"/>
    <w:basedOn w:val="DefaultParagraphFont"/>
    <w:uiPriority w:val="99"/>
    <w:semiHidden/>
    <w:unhideWhenUsed/>
    <w:rsid w:val="002E13E7"/>
    <w:rPr>
      <w:sz w:val="16"/>
      <w:szCs w:val="16"/>
    </w:rPr>
  </w:style>
  <w:style w:type="paragraph" w:styleId="CommentText">
    <w:name w:val="annotation text"/>
    <w:basedOn w:val="Normal"/>
    <w:link w:val="CommentTextChar"/>
    <w:uiPriority w:val="99"/>
    <w:semiHidden/>
    <w:unhideWhenUsed/>
    <w:rsid w:val="002E13E7"/>
    <w:pPr>
      <w:spacing w:line="240" w:lineRule="auto"/>
    </w:pPr>
    <w:rPr>
      <w:sz w:val="20"/>
      <w:szCs w:val="20"/>
    </w:rPr>
  </w:style>
  <w:style w:type="character" w:customStyle="1" w:styleId="CommentTextChar">
    <w:name w:val="Comment Text Char"/>
    <w:basedOn w:val="DefaultParagraphFont"/>
    <w:link w:val="CommentText"/>
    <w:uiPriority w:val="99"/>
    <w:semiHidden/>
    <w:rsid w:val="002E13E7"/>
    <w:rPr>
      <w:rFonts w:ascii="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2E13E7"/>
    <w:rPr>
      <w:b/>
      <w:bCs/>
    </w:rPr>
  </w:style>
  <w:style w:type="character" w:customStyle="1" w:styleId="CommentSubjectChar">
    <w:name w:val="Comment Subject Char"/>
    <w:basedOn w:val="CommentTextChar"/>
    <w:link w:val="CommentSubject"/>
    <w:uiPriority w:val="99"/>
    <w:semiHidden/>
    <w:rsid w:val="002E13E7"/>
    <w:rPr>
      <w:rFonts w:ascii="Arial" w:hAnsi="Arial" w:cs="Arial"/>
      <w:b/>
      <w:bCs/>
      <w:color w:val="000000"/>
      <w:sz w:val="20"/>
      <w:szCs w:val="20"/>
      <w:lang w:eastAsia="en-GB"/>
    </w:rPr>
  </w:style>
  <w:style w:type="character" w:styleId="Hyperlink">
    <w:name w:val="Hyperlink"/>
    <w:basedOn w:val="DefaultParagraphFont"/>
    <w:uiPriority w:val="99"/>
    <w:unhideWhenUsed/>
    <w:rsid w:val="004E2B75"/>
    <w:rPr>
      <w:color w:val="0000FF" w:themeColor="hyperlink"/>
      <w:u w:val="single"/>
    </w:rPr>
  </w:style>
  <w:style w:type="character" w:styleId="UnresolvedMention">
    <w:name w:val="Unresolved Mention"/>
    <w:basedOn w:val="DefaultParagraphFont"/>
    <w:uiPriority w:val="99"/>
    <w:semiHidden/>
    <w:unhideWhenUsed/>
    <w:rsid w:val="004E2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39180">
      <w:bodyDiv w:val="1"/>
      <w:marLeft w:val="0"/>
      <w:marRight w:val="0"/>
      <w:marTop w:val="0"/>
      <w:marBottom w:val="0"/>
      <w:divBdr>
        <w:top w:val="none" w:sz="0" w:space="0" w:color="auto"/>
        <w:left w:val="none" w:sz="0" w:space="0" w:color="auto"/>
        <w:bottom w:val="none" w:sz="0" w:space="0" w:color="auto"/>
        <w:right w:val="none" w:sz="0" w:space="0" w:color="auto"/>
      </w:divBdr>
    </w:div>
    <w:div w:id="906571928">
      <w:bodyDiv w:val="1"/>
      <w:marLeft w:val="0"/>
      <w:marRight w:val="0"/>
      <w:marTop w:val="0"/>
      <w:marBottom w:val="0"/>
      <w:divBdr>
        <w:top w:val="none" w:sz="0" w:space="0" w:color="auto"/>
        <w:left w:val="none" w:sz="0" w:space="0" w:color="auto"/>
        <w:bottom w:val="none" w:sz="0" w:space="0" w:color="auto"/>
        <w:right w:val="none" w:sz="0" w:space="0" w:color="auto"/>
      </w:divBdr>
    </w:div>
    <w:div w:id="1357272058">
      <w:bodyDiv w:val="1"/>
      <w:marLeft w:val="0"/>
      <w:marRight w:val="0"/>
      <w:marTop w:val="0"/>
      <w:marBottom w:val="0"/>
      <w:divBdr>
        <w:top w:val="none" w:sz="0" w:space="0" w:color="auto"/>
        <w:left w:val="none" w:sz="0" w:space="0" w:color="auto"/>
        <w:bottom w:val="none" w:sz="0" w:space="0" w:color="auto"/>
        <w:right w:val="none" w:sz="0" w:space="0" w:color="auto"/>
      </w:divBdr>
    </w:div>
    <w:div w:id="1366521080">
      <w:bodyDiv w:val="1"/>
      <w:marLeft w:val="0"/>
      <w:marRight w:val="0"/>
      <w:marTop w:val="0"/>
      <w:marBottom w:val="0"/>
      <w:divBdr>
        <w:top w:val="none" w:sz="0" w:space="0" w:color="auto"/>
        <w:left w:val="none" w:sz="0" w:space="0" w:color="auto"/>
        <w:bottom w:val="none" w:sz="0" w:space="0" w:color="auto"/>
        <w:right w:val="none" w:sz="0" w:space="0" w:color="auto"/>
      </w:divBdr>
    </w:div>
    <w:div w:id="1582526211">
      <w:bodyDiv w:val="1"/>
      <w:marLeft w:val="0"/>
      <w:marRight w:val="0"/>
      <w:marTop w:val="0"/>
      <w:marBottom w:val="0"/>
      <w:divBdr>
        <w:top w:val="none" w:sz="0" w:space="0" w:color="auto"/>
        <w:left w:val="none" w:sz="0" w:space="0" w:color="auto"/>
        <w:bottom w:val="none" w:sz="0" w:space="0" w:color="auto"/>
        <w:right w:val="none" w:sz="0" w:space="0" w:color="auto"/>
      </w:divBdr>
    </w:div>
    <w:div w:id="1655837046">
      <w:bodyDiv w:val="1"/>
      <w:marLeft w:val="0"/>
      <w:marRight w:val="0"/>
      <w:marTop w:val="0"/>
      <w:marBottom w:val="0"/>
      <w:divBdr>
        <w:top w:val="none" w:sz="0" w:space="0" w:color="auto"/>
        <w:left w:val="none" w:sz="0" w:space="0" w:color="auto"/>
        <w:bottom w:val="none" w:sz="0" w:space="0" w:color="auto"/>
        <w:right w:val="none" w:sz="0" w:space="0" w:color="auto"/>
      </w:divBdr>
    </w:div>
    <w:div w:id="1663316746">
      <w:bodyDiv w:val="1"/>
      <w:marLeft w:val="0"/>
      <w:marRight w:val="0"/>
      <w:marTop w:val="0"/>
      <w:marBottom w:val="0"/>
      <w:divBdr>
        <w:top w:val="none" w:sz="0" w:space="0" w:color="auto"/>
        <w:left w:val="none" w:sz="0" w:space="0" w:color="auto"/>
        <w:bottom w:val="none" w:sz="0" w:space="0" w:color="auto"/>
        <w:right w:val="none" w:sz="0" w:space="0" w:color="auto"/>
      </w:divBdr>
    </w:div>
    <w:div w:id="17261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od.gov.uk/business-guidance/food-contact-materi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0322-8260-4EF1-95F3-FDD808CB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Table - Consultation responses</vt:lpstr>
    </vt:vector>
  </TitlesOfParts>
  <Company>Food Standards Agency</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 Consultation responses</dc:title>
  <dc:creator>Tim Chandler</dc:creator>
  <cp:lastModifiedBy>Ian Woods</cp:lastModifiedBy>
  <cp:revision>3</cp:revision>
  <dcterms:created xsi:type="dcterms:W3CDTF">2018-08-24T10:25:00Z</dcterms:created>
  <dcterms:modified xsi:type="dcterms:W3CDTF">2018-08-24T11:21:00Z</dcterms:modified>
</cp:coreProperties>
</file>