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4C83" w14:textId="77777777" w:rsidR="009607E7" w:rsidRPr="00E028CE" w:rsidRDefault="009607E7" w:rsidP="00E028CE">
      <w:pPr>
        <w:spacing w:after="160" w:line="276" w:lineRule="auto"/>
        <w:rPr>
          <w:rFonts w:ascii="Arial" w:eastAsiaTheme="minorHAnsi" w:hAnsi="Arial" w:cs="Arial"/>
          <w:smallCaps/>
          <w:color w:val="5A5A5A" w:themeColor="text1" w:themeTint="A5"/>
          <w:sz w:val="24"/>
          <w:szCs w:val="24"/>
          <w:lang w:eastAsia="en-US"/>
        </w:rPr>
      </w:pPr>
      <w:bookmarkStart w:id="0" w:name="_GoBack"/>
      <w:bookmarkEnd w:id="0"/>
    </w:p>
    <w:p w14:paraId="67233A92" w14:textId="77777777" w:rsidR="0068316F" w:rsidRPr="00710981" w:rsidRDefault="0068316F" w:rsidP="00E028CE">
      <w:pPr>
        <w:spacing w:line="276" w:lineRule="auto"/>
        <w:ind w:left="426" w:right="32"/>
        <w:contextualSpacing/>
        <w:mirrorIndents/>
        <w:jc w:val="center"/>
        <w:rPr>
          <w:rStyle w:val="field"/>
          <w:rFonts w:ascii="Arial" w:hAnsi="Arial" w:cs="Arial"/>
          <w:sz w:val="28"/>
          <w:szCs w:val="28"/>
          <w:lang w:val="en"/>
        </w:rPr>
      </w:pPr>
      <w:r w:rsidRPr="00710981">
        <w:rPr>
          <w:rStyle w:val="field"/>
          <w:rFonts w:ascii="Arial" w:hAnsi="Arial" w:cs="Arial"/>
          <w:sz w:val="28"/>
          <w:szCs w:val="28"/>
          <w:lang w:val="en"/>
        </w:rPr>
        <w:t xml:space="preserve">Proposed Changes To The Operational Policy For The Approval </w:t>
      </w:r>
    </w:p>
    <w:p w14:paraId="1C79AF41" w14:textId="2EFC1A5C" w:rsidR="0068316F" w:rsidRPr="00710981" w:rsidRDefault="0068316F" w:rsidP="00E028CE">
      <w:pPr>
        <w:spacing w:line="276" w:lineRule="auto"/>
        <w:ind w:left="426" w:right="32"/>
        <w:contextualSpacing/>
        <w:mirrorIndents/>
        <w:jc w:val="center"/>
        <w:rPr>
          <w:rStyle w:val="field"/>
          <w:rFonts w:ascii="Arial" w:hAnsi="Arial" w:cs="Arial"/>
          <w:sz w:val="28"/>
          <w:szCs w:val="28"/>
          <w:lang w:val="en"/>
        </w:rPr>
      </w:pPr>
      <w:r w:rsidRPr="00710981">
        <w:rPr>
          <w:rStyle w:val="field"/>
          <w:rFonts w:ascii="Arial" w:hAnsi="Arial" w:cs="Arial"/>
          <w:sz w:val="28"/>
          <w:szCs w:val="28"/>
          <w:lang w:val="en"/>
        </w:rPr>
        <w:t xml:space="preserve">Of Meat Establishments Undertaken By The Food Standards Agency </w:t>
      </w:r>
    </w:p>
    <w:p w14:paraId="12CD91D1" w14:textId="77777777" w:rsidR="009607E7" w:rsidRPr="006C22B2" w:rsidRDefault="009607E7" w:rsidP="00E028CE">
      <w:pPr>
        <w:spacing w:line="276" w:lineRule="auto"/>
        <w:ind w:left="426" w:right="32"/>
        <w:contextualSpacing/>
        <w:mirrorIndents/>
        <w:jc w:val="center"/>
        <w:rPr>
          <w:rFonts w:ascii="Arial" w:hAnsi="Arial" w:cs="Arial"/>
          <w:b/>
          <w:sz w:val="24"/>
          <w:szCs w:val="24"/>
        </w:rPr>
      </w:pPr>
    </w:p>
    <w:p w14:paraId="15402969" w14:textId="52AA4C5E" w:rsidR="009607E7" w:rsidRPr="006C22B2" w:rsidRDefault="009607E7" w:rsidP="00E028CE">
      <w:pPr>
        <w:pStyle w:val="BodyTextFirstIndent2"/>
        <w:spacing w:line="276" w:lineRule="auto"/>
        <w:jc w:val="center"/>
        <w:rPr>
          <w:rFonts w:ascii="Arial" w:hAnsi="Arial" w:cs="Arial"/>
          <w:b/>
          <w:sz w:val="24"/>
          <w:szCs w:val="24"/>
        </w:rPr>
      </w:pPr>
      <w:r w:rsidRPr="006C22B2">
        <w:rPr>
          <w:rFonts w:ascii="Arial" w:hAnsi="Arial" w:cs="Arial"/>
          <w:b/>
          <w:sz w:val="24"/>
          <w:szCs w:val="24"/>
        </w:rPr>
        <w:t>SUMMARY REPORT OF RESPONSES TO CONSULTATION FROM STAKEHOLDERS</w:t>
      </w:r>
    </w:p>
    <w:p w14:paraId="6A4098A6" w14:textId="77777777" w:rsidR="00E028CE" w:rsidRPr="006C22B2" w:rsidRDefault="00E028CE" w:rsidP="00E028CE">
      <w:pPr>
        <w:pStyle w:val="BodyTextFirstIndent2"/>
        <w:spacing w:line="276" w:lineRule="auto"/>
        <w:jc w:val="center"/>
        <w:rPr>
          <w:rFonts w:ascii="Arial" w:hAnsi="Arial" w:cs="Arial"/>
          <w:b/>
          <w:sz w:val="24"/>
          <w:szCs w:val="24"/>
        </w:rPr>
      </w:pPr>
    </w:p>
    <w:p w14:paraId="7B1932C4" w14:textId="26BE9CDA" w:rsidR="00650D89" w:rsidRPr="006C22B2" w:rsidRDefault="0068316F" w:rsidP="00E028CE">
      <w:pPr>
        <w:pStyle w:val="BodyText"/>
        <w:spacing w:line="276" w:lineRule="auto"/>
        <w:rPr>
          <w:rFonts w:ascii="Arial" w:hAnsi="Arial" w:cs="Arial"/>
          <w:sz w:val="24"/>
          <w:szCs w:val="24"/>
        </w:rPr>
      </w:pPr>
      <w:r>
        <w:rPr>
          <w:rFonts w:ascii="Arial" w:hAnsi="Arial" w:cs="Arial"/>
          <w:sz w:val="24"/>
          <w:szCs w:val="24"/>
        </w:rPr>
        <w:t>A</w:t>
      </w:r>
      <w:r w:rsidR="009607E7" w:rsidRPr="006C22B2">
        <w:rPr>
          <w:rFonts w:ascii="Arial" w:hAnsi="Arial" w:cs="Arial"/>
          <w:sz w:val="24"/>
          <w:szCs w:val="24"/>
        </w:rPr>
        <w:t xml:space="preserve"> consultation exercise on </w:t>
      </w:r>
      <w:r>
        <w:rPr>
          <w:rFonts w:ascii="Arial" w:hAnsi="Arial" w:cs="Arial"/>
          <w:sz w:val="24"/>
          <w:szCs w:val="24"/>
        </w:rPr>
        <w:t xml:space="preserve">proposed changes to the Operational Policy detailing the administrative process for approval of slaughterhouses, cutting plants, game handling establishments and wholesale meat markets by the FSA </w:t>
      </w:r>
      <w:r w:rsidR="009607E7" w:rsidRPr="006C22B2">
        <w:rPr>
          <w:rFonts w:ascii="Arial" w:hAnsi="Arial" w:cs="Arial"/>
          <w:sz w:val="24"/>
          <w:szCs w:val="24"/>
        </w:rPr>
        <w:t xml:space="preserve">was issued in England, Wales and Northern Ireland on </w:t>
      </w:r>
      <w:r w:rsidR="006677C7">
        <w:rPr>
          <w:rFonts w:ascii="Arial" w:hAnsi="Arial" w:cs="Arial"/>
          <w:sz w:val="24"/>
          <w:szCs w:val="24"/>
        </w:rPr>
        <w:t>2</w:t>
      </w:r>
      <w:r w:rsidR="009607E7" w:rsidRPr="006C22B2">
        <w:rPr>
          <w:rFonts w:ascii="Arial" w:hAnsi="Arial" w:cs="Arial"/>
          <w:sz w:val="24"/>
          <w:szCs w:val="24"/>
        </w:rPr>
        <w:t>8</w:t>
      </w:r>
      <w:r>
        <w:rPr>
          <w:rFonts w:ascii="Arial" w:hAnsi="Arial" w:cs="Arial"/>
          <w:sz w:val="24"/>
          <w:szCs w:val="24"/>
        </w:rPr>
        <w:t xml:space="preserve"> June </w:t>
      </w:r>
      <w:r w:rsidR="009607E7" w:rsidRPr="006C22B2">
        <w:rPr>
          <w:rFonts w:ascii="Arial" w:hAnsi="Arial" w:cs="Arial"/>
          <w:sz w:val="24"/>
          <w:szCs w:val="24"/>
        </w:rPr>
        <w:t>201</w:t>
      </w:r>
      <w:r>
        <w:rPr>
          <w:rFonts w:ascii="Arial" w:hAnsi="Arial" w:cs="Arial"/>
          <w:sz w:val="24"/>
          <w:szCs w:val="24"/>
        </w:rPr>
        <w:t>8</w:t>
      </w:r>
      <w:r w:rsidR="009607E7" w:rsidRPr="006C22B2">
        <w:rPr>
          <w:rFonts w:ascii="Arial" w:hAnsi="Arial" w:cs="Arial"/>
          <w:sz w:val="24"/>
          <w:szCs w:val="24"/>
        </w:rPr>
        <w:t xml:space="preserve"> and closed on </w:t>
      </w:r>
      <w:r>
        <w:rPr>
          <w:rFonts w:ascii="Arial" w:hAnsi="Arial" w:cs="Arial"/>
          <w:sz w:val="24"/>
          <w:szCs w:val="24"/>
        </w:rPr>
        <w:t>20 September</w:t>
      </w:r>
      <w:r w:rsidR="009607E7" w:rsidRPr="006C22B2">
        <w:rPr>
          <w:rFonts w:ascii="Arial" w:hAnsi="Arial" w:cs="Arial"/>
          <w:sz w:val="24"/>
          <w:szCs w:val="24"/>
        </w:rPr>
        <w:t xml:space="preserve"> 2018</w:t>
      </w:r>
      <w:r w:rsidR="00650D89" w:rsidRPr="006C22B2">
        <w:rPr>
          <w:rFonts w:ascii="Arial" w:hAnsi="Arial" w:cs="Arial"/>
          <w:sz w:val="24"/>
          <w:szCs w:val="24"/>
        </w:rPr>
        <w:t>.</w:t>
      </w:r>
    </w:p>
    <w:p w14:paraId="14E183AC" w14:textId="4EB93A0F" w:rsidR="0068316F" w:rsidRPr="0068316F" w:rsidRDefault="0068316F" w:rsidP="0068316F">
      <w:pPr>
        <w:pStyle w:val="Default"/>
      </w:pPr>
    </w:p>
    <w:p w14:paraId="2A852CD6" w14:textId="77777777" w:rsidR="0068316F" w:rsidRPr="0068316F" w:rsidRDefault="0068316F" w:rsidP="0068316F">
      <w:pPr>
        <w:autoSpaceDE w:val="0"/>
        <w:autoSpaceDN w:val="0"/>
        <w:adjustRightInd w:val="0"/>
        <w:rPr>
          <w:rFonts w:ascii="Arial" w:eastAsiaTheme="minorHAnsi" w:hAnsi="Arial" w:cs="Arial"/>
          <w:color w:val="000000"/>
          <w:sz w:val="23"/>
          <w:szCs w:val="23"/>
          <w:lang w:eastAsia="en-US"/>
        </w:rPr>
      </w:pPr>
      <w:r w:rsidRPr="0068316F">
        <w:rPr>
          <w:rFonts w:ascii="Arial" w:eastAsiaTheme="minorHAnsi" w:hAnsi="Arial" w:cs="Arial"/>
          <w:color w:val="000000"/>
          <w:sz w:val="23"/>
          <w:szCs w:val="23"/>
          <w:lang w:eastAsia="en-US"/>
        </w:rPr>
        <w:t xml:space="preserve">The Food Standards Agency has a published policy providing guidance to food business operators on the requirements for approval and how the application process is delivered. Since the last version of the policy (August 2015) there have been several changes in policy and procedure not yet incorporated into the published document. </w:t>
      </w:r>
    </w:p>
    <w:p w14:paraId="29B05B5A" w14:textId="77777777" w:rsidR="0068316F" w:rsidRDefault="0068316F" w:rsidP="00E028CE">
      <w:pPr>
        <w:pStyle w:val="BodyText"/>
        <w:spacing w:line="276" w:lineRule="auto"/>
        <w:rPr>
          <w:rFonts w:ascii="Arial" w:hAnsi="Arial" w:cs="Arial"/>
          <w:color w:val="000000"/>
          <w:sz w:val="24"/>
          <w:szCs w:val="24"/>
        </w:rPr>
      </w:pPr>
    </w:p>
    <w:p w14:paraId="73F6BFF3" w14:textId="4D3DF2F2" w:rsidR="00722C73" w:rsidRDefault="0068316F" w:rsidP="00710981">
      <w:pPr>
        <w:autoSpaceDE w:val="0"/>
        <w:autoSpaceDN w:val="0"/>
        <w:adjustRightInd w:val="0"/>
        <w:rPr>
          <w:rFonts w:ascii="Arial" w:hAnsi="Arial" w:cs="Arial"/>
          <w:color w:val="000000"/>
          <w:sz w:val="24"/>
          <w:szCs w:val="24"/>
        </w:rPr>
      </w:pPr>
      <w:r w:rsidRPr="0068316F">
        <w:rPr>
          <w:rFonts w:ascii="Arial" w:eastAsiaTheme="minorHAnsi" w:hAnsi="Arial" w:cs="Arial"/>
          <w:color w:val="000000"/>
          <w:sz w:val="23"/>
          <w:szCs w:val="23"/>
          <w:lang w:eastAsia="en-US"/>
        </w:rPr>
        <w:t>In addition to this</w:t>
      </w:r>
      <w:r>
        <w:rPr>
          <w:rFonts w:ascii="Arial" w:eastAsiaTheme="minorHAnsi" w:hAnsi="Arial" w:cs="Arial"/>
          <w:color w:val="000000"/>
          <w:sz w:val="23"/>
          <w:szCs w:val="23"/>
          <w:lang w:eastAsia="en-US"/>
        </w:rPr>
        <w:t>, in November 2017 t</w:t>
      </w:r>
      <w:r w:rsidRPr="0068316F">
        <w:rPr>
          <w:rFonts w:ascii="Arial" w:eastAsiaTheme="minorHAnsi" w:hAnsi="Arial" w:cs="Arial"/>
          <w:color w:val="000000"/>
          <w:sz w:val="23"/>
          <w:szCs w:val="23"/>
          <w:lang w:eastAsia="en-US"/>
        </w:rPr>
        <w:t>he FSA commissioned an external review of operational policy and procedures for the approval of meat establishments. Further to the recommendations made by that review the FSA is also seeking to provide further clarity on how previous poor compliance will be a determining factor in considering new applications for approval</w:t>
      </w:r>
      <w:r w:rsidR="00722C73" w:rsidRPr="006C22B2">
        <w:rPr>
          <w:rFonts w:ascii="Arial" w:hAnsi="Arial" w:cs="Arial"/>
          <w:color w:val="000000"/>
          <w:sz w:val="24"/>
          <w:szCs w:val="24"/>
        </w:rPr>
        <w:t>.</w:t>
      </w:r>
    </w:p>
    <w:p w14:paraId="5C9E1251" w14:textId="77777777" w:rsidR="0068316F" w:rsidRPr="006C22B2" w:rsidRDefault="0068316F" w:rsidP="00710981">
      <w:pPr>
        <w:autoSpaceDE w:val="0"/>
        <w:autoSpaceDN w:val="0"/>
        <w:adjustRightInd w:val="0"/>
        <w:rPr>
          <w:rFonts w:ascii="Arial" w:hAnsi="Arial" w:cs="Arial"/>
          <w:color w:val="000000"/>
          <w:sz w:val="24"/>
          <w:szCs w:val="24"/>
        </w:rPr>
      </w:pPr>
    </w:p>
    <w:p w14:paraId="3F6AF000" w14:textId="2B8D619A" w:rsidR="00ED22D4" w:rsidRDefault="00D26EF0" w:rsidP="006C22B2">
      <w:pPr>
        <w:rPr>
          <w:rFonts w:ascii="Arial" w:hAnsi="Arial" w:cs="Arial"/>
          <w:bCs/>
          <w:sz w:val="24"/>
          <w:szCs w:val="24"/>
        </w:rPr>
      </w:pPr>
      <w:r w:rsidRPr="006C22B2">
        <w:rPr>
          <w:rFonts w:ascii="Arial" w:hAnsi="Arial" w:cs="Arial"/>
          <w:bCs/>
          <w:sz w:val="24"/>
          <w:szCs w:val="24"/>
        </w:rPr>
        <w:t xml:space="preserve">They key </w:t>
      </w:r>
      <w:r w:rsidR="0068316F">
        <w:rPr>
          <w:rFonts w:ascii="Arial" w:hAnsi="Arial" w:cs="Arial"/>
          <w:bCs/>
          <w:sz w:val="24"/>
          <w:szCs w:val="24"/>
        </w:rPr>
        <w:t xml:space="preserve">changes being proposed </w:t>
      </w:r>
      <w:r w:rsidRPr="006C22B2">
        <w:rPr>
          <w:rFonts w:ascii="Arial" w:hAnsi="Arial" w:cs="Arial"/>
          <w:bCs/>
          <w:sz w:val="24"/>
          <w:szCs w:val="24"/>
        </w:rPr>
        <w:t xml:space="preserve">on which the consultation sought views on </w:t>
      </w:r>
      <w:r w:rsidR="00007669" w:rsidRPr="006C22B2">
        <w:rPr>
          <w:rFonts w:ascii="Arial" w:hAnsi="Arial" w:cs="Arial"/>
          <w:bCs/>
          <w:sz w:val="24"/>
          <w:szCs w:val="24"/>
        </w:rPr>
        <w:t>were:</w:t>
      </w:r>
    </w:p>
    <w:p w14:paraId="579720BA" w14:textId="5BCF74FB" w:rsidR="006C22B2" w:rsidRDefault="006C22B2" w:rsidP="006C22B2">
      <w:pPr>
        <w:rPr>
          <w:rFonts w:ascii="Arial" w:hAnsi="Arial" w:cs="Arial"/>
          <w:bCs/>
          <w:sz w:val="24"/>
          <w:szCs w:val="24"/>
        </w:rPr>
      </w:pPr>
    </w:p>
    <w:p w14:paraId="64E765E7" w14:textId="77777777" w:rsidR="0068316F" w:rsidRPr="0068316F" w:rsidRDefault="0068316F" w:rsidP="0068316F">
      <w:pPr>
        <w:autoSpaceDE w:val="0"/>
        <w:autoSpaceDN w:val="0"/>
        <w:adjustRightInd w:val="0"/>
        <w:rPr>
          <w:rFonts w:ascii="Arial" w:eastAsiaTheme="minorHAnsi" w:hAnsi="Arial" w:cs="Arial"/>
          <w:color w:val="000000"/>
          <w:sz w:val="24"/>
          <w:szCs w:val="24"/>
          <w:lang w:eastAsia="en-US"/>
        </w:rPr>
      </w:pPr>
    </w:p>
    <w:p w14:paraId="621AC3CC" w14:textId="77777777" w:rsidR="00710981" w:rsidRDefault="00710981" w:rsidP="00710981">
      <w:pPr>
        <w:numPr>
          <w:ilvl w:val="0"/>
          <w:numId w:val="15"/>
        </w:numPr>
        <w:rPr>
          <w:rFonts w:ascii="Arial" w:hAnsi="Arial" w:cs="Arial"/>
          <w:sz w:val="24"/>
          <w:szCs w:val="24"/>
        </w:rPr>
      </w:pPr>
      <w:r>
        <w:rPr>
          <w:rFonts w:ascii="Arial" w:hAnsi="Arial" w:cs="Arial"/>
          <w:sz w:val="24"/>
          <w:szCs w:val="24"/>
        </w:rPr>
        <w:t xml:space="preserve">Removal of references to Food Standards Scotland. They have produced their own policy since the current joint policy was last published in August 2015. </w:t>
      </w:r>
    </w:p>
    <w:p w14:paraId="37D64280" w14:textId="77777777" w:rsidR="00710981" w:rsidRDefault="00710981" w:rsidP="00710981">
      <w:pPr>
        <w:numPr>
          <w:ilvl w:val="0"/>
          <w:numId w:val="15"/>
        </w:numPr>
        <w:rPr>
          <w:rFonts w:ascii="Arial" w:hAnsi="Arial" w:cs="Arial"/>
          <w:sz w:val="24"/>
          <w:szCs w:val="24"/>
        </w:rPr>
      </w:pPr>
      <w:r>
        <w:rPr>
          <w:rFonts w:ascii="Arial" w:hAnsi="Arial" w:cs="Arial"/>
          <w:sz w:val="24"/>
          <w:szCs w:val="24"/>
        </w:rPr>
        <w:t>Page 6 - There is a change to the governance arrangements following recommendations from John Barnes. The decision maker for Approvals decisions will a Senior Civil Servant likely to be the Head of Operations Assurance or the Head of Field Operations. Reference to a decision making panel is also included for the first time to improve transparency.       </w:t>
      </w:r>
    </w:p>
    <w:p w14:paraId="31C1F6BA" w14:textId="77777777" w:rsidR="00710981" w:rsidRDefault="00710981" w:rsidP="00710981">
      <w:pPr>
        <w:numPr>
          <w:ilvl w:val="0"/>
          <w:numId w:val="15"/>
        </w:numPr>
        <w:rPr>
          <w:rFonts w:ascii="Arial" w:hAnsi="Arial" w:cs="Arial"/>
          <w:sz w:val="24"/>
          <w:szCs w:val="24"/>
        </w:rPr>
      </w:pPr>
      <w:r>
        <w:rPr>
          <w:rFonts w:ascii="Arial" w:hAnsi="Arial" w:cs="Arial"/>
          <w:sz w:val="24"/>
          <w:szCs w:val="24"/>
        </w:rPr>
        <w:t>Paragraph 46 – The FSA is now intending to charge for advisory visits which are not required under regulations. These will be on a full cost recovery basis.  </w:t>
      </w:r>
    </w:p>
    <w:p w14:paraId="79230952" w14:textId="77777777" w:rsidR="00710981" w:rsidRDefault="00710981" w:rsidP="00710981">
      <w:pPr>
        <w:numPr>
          <w:ilvl w:val="0"/>
          <w:numId w:val="15"/>
        </w:numPr>
        <w:rPr>
          <w:rFonts w:ascii="Arial" w:hAnsi="Arial" w:cs="Arial"/>
          <w:sz w:val="24"/>
          <w:szCs w:val="24"/>
        </w:rPr>
      </w:pPr>
      <w:r>
        <w:rPr>
          <w:rFonts w:ascii="Arial" w:hAnsi="Arial" w:cs="Arial"/>
          <w:sz w:val="24"/>
          <w:szCs w:val="24"/>
        </w:rPr>
        <w:lastRenderedPageBreak/>
        <w:t>Paragraphs 49-57 – clarifies to FBOs that previous non-compliance is something the FSA will consider when receiving new applications. A disclaimer will also need to be included on the application form to capture previous relevant convictions. This will assist the Agency taking a more robust approach against food business operators who have demonstrated an inability to meet the minimum requirements of food law.   </w:t>
      </w:r>
    </w:p>
    <w:p w14:paraId="50298121" w14:textId="77777777" w:rsidR="00710981" w:rsidRDefault="00710981" w:rsidP="00710981">
      <w:pPr>
        <w:numPr>
          <w:ilvl w:val="0"/>
          <w:numId w:val="15"/>
        </w:numPr>
        <w:rPr>
          <w:rFonts w:ascii="Arial" w:hAnsi="Arial" w:cs="Arial"/>
          <w:sz w:val="24"/>
          <w:szCs w:val="24"/>
        </w:rPr>
      </w:pPr>
      <w:r>
        <w:rPr>
          <w:rFonts w:ascii="Arial" w:hAnsi="Arial" w:cs="Arial"/>
          <w:sz w:val="24"/>
          <w:szCs w:val="24"/>
        </w:rPr>
        <w:t> Para 58 – reference to a food safety management system needing to be in place prior to conditional approval for high risk food items such as minced meat/meat preps intended to be eaten less than thoroughly cooked.    </w:t>
      </w:r>
    </w:p>
    <w:p w14:paraId="634BB005" w14:textId="77777777" w:rsidR="00710981" w:rsidRDefault="00710981" w:rsidP="00710981">
      <w:pPr>
        <w:numPr>
          <w:ilvl w:val="0"/>
          <w:numId w:val="15"/>
        </w:numPr>
        <w:rPr>
          <w:rFonts w:ascii="Arial" w:hAnsi="Arial" w:cs="Arial"/>
          <w:sz w:val="24"/>
          <w:szCs w:val="24"/>
        </w:rPr>
      </w:pPr>
      <w:r>
        <w:rPr>
          <w:rFonts w:ascii="Arial" w:hAnsi="Arial" w:cs="Arial"/>
          <w:sz w:val="24"/>
          <w:szCs w:val="24"/>
        </w:rPr>
        <w:t xml:space="preserve">Para 80 – provides an indication approval numbers can be re-used for a new approval. This allows FBOs to retain their approval number when moving premises </w:t>
      </w:r>
    </w:p>
    <w:p w14:paraId="69AC9245" w14:textId="77777777" w:rsidR="00710981" w:rsidRDefault="00710981" w:rsidP="00710981">
      <w:pPr>
        <w:numPr>
          <w:ilvl w:val="0"/>
          <w:numId w:val="15"/>
        </w:numPr>
        <w:rPr>
          <w:rFonts w:ascii="Arial" w:hAnsi="Arial" w:cs="Arial"/>
          <w:sz w:val="24"/>
          <w:szCs w:val="24"/>
        </w:rPr>
      </w:pPr>
      <w:r>
        <w:rPr>
          <w:rFonts w:ascii="Arial" w:hAnsi="Arial" w:cs="Arial"/>
          <w:sz w:val="24"/>
          <w:szCs w:val="24"/>
        </w:rPr>
        <w:t>Para 95 – clarifying that the audit cycle is suspended whilst a review of approval is ongoing</w:t>
      </w:r>
    </w:p>
    <w:p w14:paraId="1C7454D5" w14:textId="77777777" w:rsidR="00710981" w:rsidRDefault="00710981" w:rsidP="00710981">
      <w:pPr>
        <w:numPr>
          <w:ilvl w:val="0"/>
          <w:numId w:val="15"/>
        </w:numPr>
        <w:rPr>
          <w:rFonts w:ascii="Arial" w:hAnsi="Arial" w:cs="Arial"/>
          <w:sz w:val="24"/>
          <w:szCs w:val="24"/>
        </w:rPr>
      </w:pPr>
      <w:r>
        <w:rPr>
          <w:rFonts w:ascii="Arial" w:hAnsi="Arial" w:cs="Arial"/>
          <w:sz w:val="24"/>
          <w:szCs w:val="24"/>
        </w:rPr>
        <w:t>Para 107 – explains that the Agency will not consider applications for additional activities whilst the FBO has an Urgent Improvement Necessary or Improvement Necessary outcome</w:t>
      </w:r>
    </w:p>
    <w:p w14:paraId="35E73B35" w14:textId="77777777" w:rsidR="00710981" w:rsidRDefault="00710981" w:rsidP="00710981">
      <w:pPr>
        <w:numPr>
          <w:ilvl w:val="0"/>
          <w:numId w:val="15"/>
        </w:numPr>
        <w:rPr>
          <w:rFonts w:ascii="Arial" w:hAnsi="Arial" w:cs="Arial"/>
          <w:sz w:val="24"/>
          <w:szCs w:val="24"/>
        </w:rPr>
      </w:pPr>
      <w:r>
        <w:rPr>
          <w:rFonts w:ascii="Arial" w:hAnsi="Arial" w:cs="Arial"/>
          <w:sz w:val="24"/>
          <w:szCs w:val="24"/>
        </w:rPr>
        <w:t xml:space="preserve">Page 38 – inclusion of the ‘satellite’ exemption which has already been included in the LA Guidance for Approval Officers published in July 2016. </w:t>
      </w:r>
    </w:p>
    <w:p w14:paraId="02D73334" w14:textId="77777777" w:rsidR="00710981" w:rsidRDefault="00710981" w:rsidP="00710981">
      <w:pPr>
        <w:numPr>
          <w:ilvl w:val="0"/>
          <w:numId w:val="15"/>
        </w:numPr>
        <w:rPr>
          <w:rFonts w:ascii="Arial" w:hAnsi="Arial" w:cs="Arial"/>
          <w:sz w:val="24"/>
          <w:szCs w:val="24"/>
        </w:rPr>
      </w:pPr>
      <w:r>
        <w:rPr>
          <w:rFonts w:ascii="Arial" w:hAnsi="Arial" w:cs="Arial"/>
          <w:sz w:val="24"/>
          <w:szCs w:val="24"/>
        </w:rPr>
        <w:t xml:space="preserve">Page 42 – inclusion of CCTV requirements in the list of serious deficiencies which will allow the FSA to withdraw approval if a slaughterhouse fails to comply with the new requirements. </w:t>
      </w:r>
    </w:p>
    <w:p w14:paraId="04EF9745" w14:textId="77777777" w:rsidR="0068316F" w:rsidRPr="006C22B2" w:rsidRDefault="0068316F" w:rsidP="006C22B2">
      <w:pPr>
        <w:rPr>
          <w:rFonts w:ascii="Arial" w:hAnsi="Arial" w:cs="Arial"/>
          <w:bCs/>
          <w:sz w:val="24"/>
          <w:szCs w:val="24"/>
        </w:rPr>
      </w:pPr>
    </w:p>
    <w:p w14:paraId="4A67ACCA" w14:textId="5BB1FD5E" w:rsidR="00650D89" w:rsidRDefault="00650D89" w:rsidP="00AC59F0">
      <w:pPr>
        <w:spacing w:line="276" w:lineRule="auto"/>
        <w:ind w:right="32"/>
        <w:contextualSpacing/>
        <w:mirrorIndents/>
        <w:rPr>
          <w:rFonts w:ascii="Arial" w:hAnsi="Arial" w:cs="Arial"/>
          <w:sz w:val="24"/>
          <w:szCs w:val="24"/>
        </w:rPr>
      </w:pPr>
    </w:p>
    <w:p w14:paraId="6200459A" w14:textId="7F672D50" w:rsidR="00E028CE" w:rsidRPr="006C22B2" w:rsidRDefault="00E028CE" w:rsidP="00E028CE">
      <w:pPr>
        <w:spacing w:line="276" w:lineRule="auto"/>
        <w:ind w:left="426" w:right="32"/>
        <w:contextualSpacing/>
        <w:mirrorIndents/>
        <w:rPr>
          <w:rFonts w:ascii="Arial" w:hAnsi="Arial" w:cs="Arial"/>
          <w:b/>
          <w:sz w:val="24"/>
          <w:szCs w:val="24"/>
        </w:rPr>
      </w:pPr>
      <w:r w:rsidRPr="006C22B2">
        <w:rPr>
          <w:rFonts w:ascii="Arial" w:hAnsi="Arial" w:cs="Arial"/>
          <w:b/>
          <w:sz w:val="24"/>
          <w:szCs w:val="24"/>
        </w:rPr>
        <w:t>Summary of Responses</w:t>
      </w:r>
    </w:p>
    <w:p w14:paraId="027BF9A4" w14:textId="78CAC1B3" w:rsidR="00536747" w:rsidRPr="006C22B2" w:rsidRDefault="00536747" w:rsidP="00536747">
      <w:pPr>
        <w:autoSpaceDE w:val="0"/>
        <w:autoSpaceDN w:val="0"/>
        <w:adjustRightInd w:val="0"/>
        <w:rPr>
          <w:rFonts w:ascii="Arial" w:eastAsiaTheme="minorHAnsi" w:hAnsi="Arial" w:cs="Arial"/>
          <w:color w:val="000000"/>
          <w:sz w:val="24"/>
          <w:szCs w:val="24"/>
          <w:lang w:eastAsia="en-US"/>
        </w:rPr>
      </w:pPr>
    </w:p>
    <w:p w14:paraId="235904DC" w14:textId="20509BF0" w:rsidR="006C22B2" w:rsidRDefault="00536747" w:rsidP="00041A5F">
      <w:pPr>
        <w:autoSpaceDE w:val="0"/>
        <w:autoSpaceDN w:val="0"/>
        <w:adjustRightInd w:val="0"/>
        <w:rPr>
          <w:rFonts w:ascii="Arial" w:eastAsiaTheme="minorHAnsi" w:hAnsi="Arial" w:cs="Arial"/>
          <w:color w:val="000000"/>
          <w:sz w:val="24"/>
          <w:szCs w:val="24"/>
          <w:lang w:eastAsia="en-US"/>
        </w:rPr>
      </w:pPr>
      <w:r w:rsidRPr="006C22B2">
        <w:rPr>
          <w:rFonts w:ascii="Arial" w:eastAsiaTheme="minorHAnsi" w:hAnsi="Arial" w:cs="Arial"/>
          <w:color w:val="000000"/>
          <w:sz w:val="24"/>
          <w:szCs w:val="24"/>
          <w:lang w:eastAsia="en-US"/>
        </w:rPr>
        <w:t>A total of</w:t>
      </w:r>
      <w:r w:rsidR="00041A5F">
        <w:rPr>
          <w:rFonts w:ascii="Arial" w:eastAsiaTheme="minorHAnsi" w:hAnsi="Arial" w:cs="Arial"/>
          <w:color w:val="000000"/>
          <w:sz w:val="24"/>
          <w:szCs w:val="24"/>
          <w:lang w:eastAsia="en-US"/>
        </w:rPr>
        <w:t xml:space="preserve"> </w:t>
      </w:r>
      <w:r w:rsidR="00710981">
        <w:rPr>
          <w:rFonts w:ascii="Arial" w:eastAsiaTheme="minorHAnsi" w:hAnsi="Arial" w:cs="Arial"/>
          <w:color w:val="000000"/>
          <w:sz w:val="24"/>
          <w:szCs w:val="24"/>
          <w:lang w:eastAsia="en-US"/>
        </w:rPr>
        <w:t>4</w:t>
      </w:r>
      <w:r w:rsidR="00710981" w:rsidRPr="006C22B2">
        <w:rPr>
          <w:rFonts w:ascii="Arial" w:eastAsiaTheme="minorHAnsi" w:hAnsi="Arial" w:cs="Arial"/>
          <w:color w:val="000000"/>
          <w:sz w:val="24"/>
          <w:szCs w:val="24"/>
          <w:lang w:eastAsia="en-US"/>
        </w:rPr>
        <w:t xml:space="preserve"> </w:t>
      </w:r>
      <w:r w:rsidRPr="006C22B2">
        <w:rPr>
          <w:rFonts w:ascii="Arial" w:eastAsiaTheme="minorHAnsi" w:hAnsi="Arial" w:cs="Arial"/>
          <w:color w:val="000000"/>
          <w:sz w:val="24"/>
          <w:szCs w:val="24"/>
          <w:lang w:eastAsia="en-US"/>
        </w:rPr>
        <w:t xml:space="preserve">responses were received to the consultation in </w:t>
      </w:r>
      <w:r w:rsidR="00710981">
        <w:rPr>
          <w:rFonts w:ascii="Arial" w:eastAsiaTheme="minorHAnsi" w:hAnsi="Arial" w:cs="Arial"/>
          <w:color w:val="000000"/>
          <w:sz w:val="24"/>
          <w:szCs w:val="24"/>
          <w:lang w:eastAsia="en-US"/>
        </w:rPr>
        <w:t>England, Wales and Northern Ireland</w:t>
      </w:r>
      <w:r w:rsidRPr="006C22B2">
        <w:rPr>
          <w:rFonts w:ascii="Arial" w:eastAsiaTheme="minorHAnsi" w:hAnsi="Arial" w:cs="Arial"/>
          <w:color w:val="000000"/>
          <w:sz w:val="24"/>
          <w:szCs w:val="24"/>
          <w:lang w:eastAsia="en-US"/>
        </w:rPr>
        <w:t xml:space="preserve"> </w:t>
      </w:r>
    </w:p>
    <w:p w14:paraId="04FA76B9" w14:textId="17A93A93" w:rsidR="006C22B2" w:rsidRDefault="006C22B2" w:rsidP="00536747">
      <w:pPr>
        <w:autoSpaceDE w:val="0"/>
        <w:autoSpaceDN w:val="0"/>
        <w:adjustRightInd w:val="0"/>
        <w:rPr>
          <w:rFonts w:ascii="Arial" w:eastAsiaTheme="minorHAnsi" w:hAnsi="Arial" w:cs="Arial"/>
          <w:color w:val="000000"/>
          <w:sz w:val="24"/>
          <w:szCs w:val="24"/>
          <w:lang w:eastAsia="en-US"/>
        </w:rPr>
      </w:pPr>
    </w:p>
    <w:p w14:paraId="5238E90D" w14:textId="1219AB23" w:rsidR="006C22B2" w:rsidRDefault="006C22B2" w:rsidP="00536747">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Responses:</w:t>
      </w:r>
    </w:p>
    <w:p w14:paraId="7DC71B3A" w14:textId="5A6C8524" w:rsidR="006C22B2" w:rsidRDefault="006C22B2" w:rsidP="00536747">
      <w:pPr>
        <w:autoSpaceDE w:val="0"/>
        <w:autoSpaceDN w:val="0"/>
        <w:adjustRightInd w:val="0"/>
        <w:rPr>
          <w:rFonts w:ascii="Arial" w:eastAsiaTheme="minorHAnsi" w:hAnsi="Arial" w:cs="Arial"/>
          <w:color w:val="000000"/>
          <w:sz w:val="24"/>
          <w:szCs w:val="24"/>
          <w:lang w:eastAsia="en-US"/>
        </w:rPr>
      </w:pPr>
    </w:p>
    <w:p w14:paraId="103CA6B3" w14:textId="0E78CAEE" w:rsidR="006C22B2" w:rsidRDefault="006C22B2" w:rsidP="00536747">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Association of Independent Meat Suppliers</w:t>
      </w:r>
    </w:p>
    <w:p w14:paraId="64541B21" w14:textId="77777777" w:rsidR="00710981" w:rsidRPr="00710981" w:rsidRDefault="00710981" w:rsidP="00536747">
      <w:pPr>
        <w:autoSpaceDE w:val="0"/>
        <w:autoSpaceDN w:val="0"/>
        <w:adjustRightInd w:val="0"/>
        <w:rPr>
          <w:rFonts w:ascii="Arial" w:eastAsiaTheme="minorHAnsi" w:hAnsi="Arial" w:cs="Arial"/>
          <w:color w:val="000000"/>
          <w:sz w:val="24"/>
          <w:szCs w:val="24"/>
          <w:lang w:eastAsia="en-US"/>
        </w:rPr>
      </w:pPr>
      <w:r w:rsidRPr="00710981">
        <w:rPr>
          <w:rFonts w:ascii="Arial" w:hAnsi="Arial" w:cs="Arial"/>
          <w:sz w:val="24"/>
          <w:szCs w:val="24"/>
        </w:rPr>
        <w:t>Wales Food Safety Expert Panel</w:t>
      </w:r>
      <w:r w:rsidRPr="00710981">
        <w:rPr>
          <w:rFonts w:ascii="Arial" w:eastAsiaTheme="minorHAnsi" w:hAnsi="Arial" w:cs="Arial"/>
          <w:color w:val="000000"/>
          <w:sz w:val="24"/>
          <w:szCs w:val="24"/>
          <w:lang w:eastAsia="en-US"/>
        </w:rPr>
        <w:t xml:space="preserve"> </w:t>
      </w:r>
    </w:p>
    <w:p w14:paraId="42206955" w14:textId="10DD9ABE" w:rsidR="006C22B2" w:rsidRDefault="006C22B2" w:rsidP="00536747">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British Meat </w:t>
      </w:r>
      <w:r w:rsidR="00710981">
        <w:rPr>
          <w:rFonts w:ascii="Arial" w:eastAsiaTheme="minorHAnsi" w:hAnsi="Arial" w:cs="Arial"/>
          <w:color w:val="000000"/>
          <w:sz w:val="24"/>
          <w:szCs w:val="24"/>
          <w:lang w:eastAsia="en-US"/>
        </w:rPr>
        <w:t xml:space="preserve">Processors Association </w:t>
      </w:r>
    </w:p>
    <w:p w14:paraId="00C3FFE3" w14:textId="5BB43192" w:rsidR="00524D1B" w:rsidRDefault="00E25967" w:rsidP="00536747">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Partnership Working Group</w:t>
      </w:r>
    </w:p>
    <w:p w14:paraId="292E5D87" w14:textId="72C6DDE1" w:rsidR="00710981" w:rsidRDefault="00710981" w:rsidP="00536747">
      <w:pPr>
        <w:autoSpaceDE w:val="0"/>
        <w:autoSpaceDN w:val="0"/>
        <w:adjustRightInd w:val="0"/>
        <w:rPr>
          <w:rFonts w:ascii="Arial" w:eastAsiaTheme="minorHAnsi" w:hAnsi="Arial" w:cs="Arial"/>
          <w:color w:val="000000"/>
          <w:sz w:val="24"/>
          <w:szCs w:val="24"/>
          <w:lang w:eastAsia="en-US"/>
        </w:rPr>
      </w:pPr>
    </w:p>
    <w:p w14:paraId="523AF8C6" w14:textId="3B669D78" w:rsidR="00710981" w:rsidRDefault="00710981" w:rsidP="00536747">
      <w:pPr>
        <w:autoSpaceDE w:val="0"/>
        <w:autoSpaceDN w:val="0"/>
        <w:adjustRightInd w:val="0"/>
        <w:rPr>
          <w:rFonts w:ascii="Arial" w:eastAsiaTheme="minorHAnsi" w:hAnsi="Arial" w:cs="Arial"/>
          <w:color w:val="000000"/>
          <w:sz w:val="24"/>
          <w:szCs w:val="24"/>
          <w:lang w:eastAsia="en-US"/>
        </w:rPr>
      </w:pPr>
    </w:p>
    <w:p w14:paraId="6AB3E0C1" w14:textId="11C235FD" w:rsidR="00710981" w:rsidRDefault="00710981" w:rsidP="00536747">
      <w:pPr>
        <w:autoSpaceDE w:val="0"/>
        <w:autoSpaceDN w:val="0"/>
        <w:adjustRightInd w:val="0"/>
        <w:rPr>
          <w:rFonts w:ascii="Arial" w:eastAsiaTheme="minorHAnsi" w:hAnsi="Arial" w:cs="Arial"/>
          <w:color w:val="000000"/>
          <w:sz w:val="24"/>
          <w:szCs w:val="24"/>
          <w:lang w:eastAsia="en-US"/>
        </w:rPr>
      </w:pPr>
    </w:p>
    <w:p w14:paraId="629DF7A3" w14:textId="77777777" w:rsidR="00710981" w:rsidRDefault="00710981" w:rsidP="00536747">
      <w:pPr>
        <w:autoSpaceDE w:val="0"/>
        <w:autoSpaceDN w:val="0"/>
        <w:adjustRightInd w:val="0"/>
        <w:rPr>
          <w:rFonts w:ascii="Arial" w:eastAsiaTheme="minorHAnsi" w:hAnsi="Arial" w:cs="Arial"/>
          <w:color w:val="000000"/>
          <w:sz w:val="24"/>
          <w:szCs w:val="24"/>
          <w:lang w:eastAsia="en-US"/>
        </w:rPr>
      </w:pPr>
    </w:p>
    <w:p w14:paraId="437CDDAC" w14:textId="68AD138A" w:rsidR="00536747" w:rsidRPr="006C22B2" w:rsidRDefault="00536747" w:rsidP="00536747">
      <w:pPr>
        <w:autoSpaceDE w:val="0"/>
        <w:autoSpaceDN w:val="0"/>
        <w:adjustRightInd w:val="0"/>
        <w:rPr>
          <w:rFonts w:ascii="Arial" w:eastAsiaTheme="minorHAnsi" w:hAnsi="Arial" w:cs="Arial"/>
          <w:color w:val="000000"/>
          <w:sz w:val="24"/>
          <w:szCs w:val="24"/>
          <w:lang w:eastAsia="en-US"/>
        </w:rPr>
      </w:pPr>
    </w:p>
    <w:tbl>
      <w:tblPr>
        <w:tblW w:w="14034" w:type="dxa"/>
        <w:tblBorders>
          <w:top w:val="nil"/>
          <w:left w:val="nil"/>
          <w:bottom w:val="nil"/>
          <w:right w:val="nil"/>
        </w:tblBorders>
        <w:tblLayout w:type="fixed"/>
        <w:tblLook w:val="0000" w:firstRow="0" w:lastRow="0" w:firstColumn="0" w:lastColumn="0" w:noHBand="0" w:noVBand="0"/>
      </w:tblPr>
      <w:tblGrid>
        <w:gridCol w:w="14034"/>
      </w:tblGrid>
      <w:tr w:rsidR="003E61EE" w:rsidRPr="003E61EE" w14:paraId="5A59A8EC" w14:textId="77777777" w:rsidTr="00481D24">
        <w:trPr>
          <w:trHeight w:val="100"/>
        </w:trPr>
        <w:tc>
          <w:tcPr>
            <w:tcW w:w="14034" w:type="dxa"/>
          </w:tcPr>
          <w:p w14:paraId="63FF156B" w14:textId="77777777" w:rsidR="003E61EE" w:rsidRDefault="003E61EE" w:rsidP="003E61EE">
            <w:pPr>
              <w:autoSpaceDE w:val="0"/>
              <w:autoSpaceDN w:val="0"/>
              <w:adjustRightInd w:val="0"/>
              <w:rPr>
                <w:rFonts w:ascii="Arial" w:eastAsiaTheme="minorHAnsi" w:hAnsi="Arial" w:cs="Arial"/>
                <w:b/>
                <w:bCs/>
                <w:color w:val="000000"/>
                <w:sz w:val="23"/>
                <w:szCs w:val="23"/>
                <w:lang w:eastAsia="en-US"/>
              </w:rPr>
            </w:pPr>
            <w:r>
              <w:rPr>
                <w:rFonts w:ascii="Arial" w:eastAsiaTheme="minorHAnsi" w:hAnsi="Arial" w:cs="Arial"/>
                <w:b/>
                <w:bCs/>
                <w:color w:val="000000"/>
                <w:sz w:val="23"/>
                <w:szCs w:val="23"/>
                <w:lang w:eastAsia="en-US"/>
              </w:rPr>
              <w:t xml:space="preserve">SUMMARY OF SUBSTANTIVE COMMENTS TO THE FSA CONSULTATION – </w:t>
            </w:r>
            <w:r w:rsidR="00710981">
              <w:rPr>
                <w:rFonts w:ascii="Arial" w:eastAsiaTheme="minorHAnsi" w:hAnsi="Arial" w:cs="Arial"/>
                <w:b/>
                <w:bCs/>
                <w:color w:val="000000"/>
                <w:sz w:val="23"/>
                <w:szCs w:val="23"/>
                <w:lang w:eastAsia="en-US"/>
              </w:rPr>
              <w:t xml:space="preserve">OPERATIONAL POLICY </w:t>
            </w:r>
          </w:p>
          <w:p w14:paraId="40C69A19" w14:textId="77777777" w:rsidR="00710981" w:rsidRDefault="00710981" w:rsidP="003E61EE">
            <w:pPr>
              <w:autoSpaceDE w:val="0"/>
              <w:autoSpaceDN w:val="0"/>
              <w:adjustRightInd w:val="0"/>
              <w:rPr>
                <w:rFonts w:ascii="Arial" w:eastAsiaTheme="minorHAnsi" w:hAnsi="Arial" w:cs="Arial"/>
                <w:b/>
                <w:bCs/>
                <w:color w:val="000000"/>
                <w:sz w:val="23"/>
                <w:szCs w:val="23"/>
                <w:lang w:eastAsia="en-US"/>
              </w:rPr>
            </w:pPr>
          </w:p>
          <w:p w14:paraId="06432E73" w14:textId="1E128348" w:rsidR="00710981" w:rsidRPr="003E61EE" w:rsidRDefault="00710981" w:rsidP="003E61EE">
            <w:pPr>
              <w:autoSpaceDE w:val="0"/>
              <w:autoSpaceDN w:val="0"/>
              <w:adjustRightInd w:val="0"/>
              <w:rPr>
                <w:rFonts w:ascii="Arial" w:eastAsiaTheme="minorHAnsi" w:hAnsi="Arial" w:cs="Arial"/>
                <w:color w:val="000000"/>
                <w:sz w:val="23"/>
                <w:szCs w:val="23"/>
                <w:lang w:eastAsia="en-US"/>
              </w:rPr>
            </w:pPr>
          </w:p>
        </w:tc>
      </w:tr>
    </w:tbl>
    <w:tbl>
      <w:tblPr>
        <w:tblStyle w:val="TableGrid"/>
        <w:tblW w:w="14029" w:type="dxa"/>
        <w:tblBorders>
          <w:top w:val="none" w:sz="0" w:space="0" w:color="auto"/>
          <w:bottom w:val="none" w:sz="0" w:space="0" w:color="auto"/>
        </w:tblBorders>
        <w:tblLook w:val="04A0" w:firstRow="1" w:lastRow="0" w:firstColumn="1" w:lastColumn="0" w:noHBand="0" w:noVBand="1"/>
      </w:tblPr>
      <w:tblGrid>
        <w:gridCol w:w="2814"/>
        <w:gridCol w:w="1364"/>
        <w:gridCol w:w="4374"/>
        <w:gridCol w:w="5477"/>
      </w:tblGrid>
      <w:tr w:rsidR="003E61EE" w14:paraId="2AEDB984" w14:textId="77777777" w:rsidTr="00E25967">
        <w:tc>
          <w:tcPr>
            <w:tcW w:w="2814" w:type="dxa"/>
            <w:tcBorders>
              <w:top w:val="single" w:sz="4" w:space="0" w:color="auto"/>
              <w:bottom w:val="single" w:sz="4" w:space="0" w:color="auto"/>
            </w:tcBorders>
            <w:shd w:val="clear" w:color="auto" w:fill="D0CECE" w:themeFill="background2" w:themeFillShade="E6"/>
          </w:tcPr>
          <w:p w14:paraId="5224E6D1" w14:textId="0A8125FB" w:rsidR="003E61EE" w:rsidRPr="00E25967" w:rsidRDefault="003E61EE" w:rsidP="003E61EE">
            <w:pPr>
              <w:jc w:val="center"/>
              <w:rPr>
                <w:rFonts w:ascii="Arial" w:hAnsi="Arial" w:cs="Arial"/>
                <w:b/>
                <w:sz w:val="24"/>
                <w:szCs w:val="24"/>
              </w:rPr>
            </w:pPr>
            <w:r w:rsidRPr="00E25967">
              <w:rPr>
                <w:rFonts w:ascii="Arial" w:hAnsi="Arial" w:cs="Arial"/>
                <w:b/>
                <w:sz w:val="24"/>
                <w:szCs w:val="24"/>
              </w:rPr>
              <w:t>Respondent</w:t>
            </w:r>
          </w:p>
        </w:tc>
        <w:tc>
          <w:tcPr>
            <w:tcW w:w="1364" w:type="dxa"/>
            <w:tcBorders>
              <w:top w:val="single" w:sz="4" w:space="0" w:color="auto"/>
              <w:bottom w:val="single" w:sz="4" w:space="0" w:color="auto"/>
            </w:tcBorders>
            <w:shd w:val="clear" w:color="auto" w:fill="D0CECE" w:themeFill="background2" w:themeFillShade="E6"/>
          </w:tcPr>
          <w:p w14:paraId="6CB7CA79" w14:textId="72B935BA" w:rsidR="003E61EE" w:rsidRPr="00E25967" w:rsidRDefault="003E61EE" w:rsidP="003E61EE">
            <w:pPr>
              <w:jc w:val="center"/>
              <w:rPr>
                <w:rFonts w:ascii="Arial" w:hAnsi="Arial" w:cs="Arial"/>
                <w:b/>
                <w:sz w:val="24"/>
                <w:szCs w:val="24"/>
              </w:rPr>
            </w:pPr>
            <w:r w:rsidRPr="00E25967">
              <w:rPr>
                <w:rFonts w:ascii="Arial" w:hAnsi="Arial" w:cs="Arial"/>
                <w:b/>
                <w:sz w:val="24"/>
                <w:szCs w:val="24"/>
              </w:rPr>
              <w:t>Method of Response</w:t>
            </w:r>
          </w:p>
        </w:tc>
        <w:tc>
          <w:tcPr>
            <w:tcW w:w="4374" w:type="dxa"/>
            <w:tcBorders>
              <w:top w:val="single" w:sz="4" w:space="0" w:color="auto"/>
              <w:bottom w:val="single" w:sz="4" w:space="0" w:color="auto"/>
            </w:tcBorders>
            <w:shd w:val="clear" w:color="auto" w:fill="D0CECE" w:themeFill="background2" w:themeFillShade="E6"/>
          </w:tcPr>
          <w:p w14:paraId="61DF6909" w14:textId="2E9AD594" w:rsidR="003E61EE" w:rsidRPr="00E25967" w:rsidRDefault="003E61EE" w:rsidP="003E61EE">
            <w:pPr>
              <w:jc w:val="center"/>
              <w:rPr>
                <w:rFonts w:ascii="Arial" w:hAnsi="Arial" w:cs="Arial"/>
                <w:b/>
                <w:sz w:val="24"/>
                <w:szCs w:val="24"/>
              </w:rPr>
            </w:pPr>
            <w:r w:rsidRPr="00E25967">
              <w:rPr>
                <w:rFonts w:ascii="Arial" w:hAnsi="Arial" w:cs="Arial"/>
                <w:b/>
                <w:sz w:val="24"/>
                <w:szCs w:val="24"/>
              </w:rPr>
              <w:t>Comment</w:t>
            </w:r>
          </w:p>
        </w:tc>
        <w:tc>
          <w:tcPr>
            <w:tcW w:w="5477" w:type="dxa"/>
            <w:tcBorders>
              <w:top w:val="single" w:sz="4" w:space="0" w:color="auto"/>
              <w:bottom w:val="single" w:sz="4" w:space="0" w:color="auto"/>
            </w:tcBorders>
            <w:shd w:val="clear" w:color="auto" w:fill="D0CECE" w:themeFill="background2" w:themeFillShade="E6"/>
          </w:tcPr>
          <w:p w14:paraId="52CD5975" w14:textId="53D8A671" w:rsidR="003E61EE" w:rsidRPr="00E25967" w:rsidRDefault="003E61EE" w:rsidP="003E61EE">
            <w:pPr>
              <w:jc w:val="center"/>
              <w:rPr>
                <w:rFonts w:ascii="Arial" w:hAnsi="Arial" w:cs="Arial"/>
                <w:b/>
                <w:sz w:val="24"/>
                <w:szCs w:val="24"/>
              </w:rPr>
            </w:pPr>
            <w:r w:rsidRPr="00E25967">
              <w:rPr>
                <w:rFonts w:ascii="Arial" w:hAnsi="Arial" w:cs="Arial"/>
                <w:b/>
                <w:sz w:val="24"/>
                <w:szCs w:val="24"/>
              </w:rPr>
              <w:t>Response</w:t>
            </w:r>
          </w:p>
        </w:tc>
      </w:tr>
      <w:tr w:rsidR="00EB40A3" w14:paraId="5C561C0B" w14:textId="77777777" w:rsidTr="00E25967">
        <w:trPr>
          <w:trHeight w:val="437"/>
        </w:trPr>
        <w:tc>
          <w:tcPr>
            <w:tcW w:w="2814" w:type="dxa"/>
            <w:tcBorders>
              <w:top w:val="single" w:sz="4" w:space="0" w:color="auto"/>
              <w:bottom w:val="nil"/>
            </w:tcBorders>
            <w:shd w:val="clear" w:color="auto" w:fill="auto"/>
          </w:tcPr>
          <w:p w14:paraId="1BD22975" w14:textId="77777777" w:rsidR="00710981" w:rsidRPr="00E25967" w:rsidRDefault="00710981" w:rsidP="00710981">
            <w:pPr>
              <w:autoSpaceDE w:val="0"/>
              <w:autoSpaceDN w:val="0"/>
              <w:adjustRightInd w:val="0"/>
              <w:rPr>
                <w:rFonts w:ascii="Arial" w:eastAsiaTheme="minorHAnsi" w:hAnsi="Arial" w:cs="Arial"/>
                <w:color w:val="000000"/>
                <w:sz w:val="24"/>
                <w:szCs w:val="24"/>
                <w:lang w:eastAsia="en-US"/>
              </w:rPr>
            </w:pPr>
            <w:r w:rsidRPr="00E25967">
              <w:rPr>
                <w:rFonts w:ascii="Arial" w:eastAsiaTheme="minorHAnsi" w:hAnsi="Arial" w:cs="Arial"/>
                <w:color w:val="000000"/>
                <w:sz w:val="24"/>
                <w:szCs w:val="24"/>
                <w:lang w:eastAsia="en-US"/>
              </w:rPr>
              <w:t>Association of Independent Meat Suppliers</w:t>
            </w:r>
          </w:p>
          <w:p w14:paraId="3531EBB7" w14:textId="7C386D9D" w:rsidR="00EB40A3" w:rsidRPr="00E25967" w:rsidRDefault="00EB40A3" w:rsidP="003E61EE">
            <w:pPr>
              <w:jc w:val="center"/>
              <w:rPr>
                <w:rFonts w:ascii="Arial" w:hAnsi="Arial" w:cs="Arial"/>
                <w:b/>
                <w:sz w:val="24"/>
                <w:szCs w:val="24"/>
              </w:rPr>
            </w:pPr>
          </w:p>
        </w:tc>
        <w:tc>
          <w:tcPr>
            <w:tcW w:w="1364" w:type="dxa"/>
            <w:tcBorders>
              <w:top w:val="single" w:sz="4" w:space="0" w:color="auto"/>
              <w:bottom w:val="nil"/>
            </w:tcBorders>
            <w:shd w:val="clear" w:color="auto" w:fill="auto"/>
          </w:tcPr>
          <w:p w14:paraId="572C9BA7" w14:textId="5B1BB95B" w:rsidR="00EB40A3" w:rsidRPr="00E25967" w:rsidRDefault="00EB40A3" w:rsidP="003E61EE">
            <w:pPr>
              <w:jc w:val="center"/>
              <w:rPr>
                <w:rFonts w:ascii="Arial" w:hAnsi="Arial" w:cs="Arial"/>
                <w:b/>
                <w:sz w:val="24"/>
                <w:szCs w:val="24"/>
              </w:rPr>
            </w:pPr>
            <w:r w:rsidRPr="00E25967">
              <w:rPr>
                <w:rFonts w:ascii="Arial" w:hAnsi="Arial" w:cs="Arial"/>
                <w:sz w:val="24"/>
                <w:szCs w:val="24"/>
              </w:rPr>
              <w:t>Email</w:t>
            </w:r>
          </w:p>
        </w:tc>
        <w:tc>
          <w:tcPr>
            <w:tcW w:w="4374" w:type="dxa"/>
            <w:shd w:val="clear" w:color="auto" w:fill="auto"/>
          </w:tcPr>
          <w:p w14:paraId="655C3D24" w14:textId="678C0964" w:rsidR="00EB40A3" w:rsidRPr="00E25967" w:rsidRDefault="00E25967" w:rsidP="00EB40A3">
            <w:pPr>
              <w:jc w:val="both"/>
              <w:rPr>
                <w:rFonts w:ascii="Arial" w:hAnsi="Arial" w:cs="Arial"/>
                <w:b/>
                <w:sz w:val="24"/>
                <w:szCs w:val="24"/>
              </w:rPr>
            </w:pPr>
            <w:r w:rsidRPr="000203BC">
              <w:rPr>
                <w:rFonts w:ascii="Arial" w:hAnsi="Arial" w:cs="Arial"/>
                <w:b/>
                <w:iCs/>
                <w:sz w:val="24"/>
                <w:szCs w:val="24"/>
              </w:rPr>
              <w:t>A1.</w:t>
            </w:r>
            <w:r w:rsidRPr="00E25967">
              <w:rPr>
                <w:rFonts w:ascii="Arial" w:hAnsi="Arial" w:cs="Arial"/>
                <w:iCs/>
                <w:sz w:val="24"/>
                <w:szCs w:val="24"/>
              </w:rPr>
              <w:t xml:space="preserve"> Paragraph 2.  Regulations 882/2004 and 854/2004 are not hygiene regulations but official control regulations.  They are not part of Food Law but include controls over Food Law and other rules.  They would be better included in a separate paragraph</w:t>
            </w:r>
          </w:p>
        </w:tc>
        <w:tc>
          <w:tcPr>
            <w:tcW w:w="5477" w:type="dxa"/>
            <w:shd w:val="clear" w:color="auto" w:fill="auto"/>
          </w:tcPr>
          <w:p w14:paraId="1C5370EA" w14:textId="1B968F73" w:rsidR="00297D7E" w:rsidRPr="00E25967" w:rsidRDefault="00E25967" w:rsidP="00EB40A3">
            <w:pPr>
              <w:ind w:left="322" w:hanging="322"/>
              <w:rPr>
                <w:rFonts w:ascii="Arial" w:hAnsi="Arial" w:cs="Arial"/>
                <w:sz w:val="24"/>
                <w:szCs w:val="24"/>
              </w:rPr>
            </w:pPr>
            <w:r w:rsidRPr="000203BC">
              <w:rPr>
                <w:rFonts w:ascii="Arial" w:hAnsi="Arial" w:cs="Arial"/>
                <w:b/>
                <w:sz w:val="24"/>
                <w:szCs w:val="24"/>
              </w:rPr>
              <w:t>A1.</w:t>
            </w:r>
            <w:r w:rsidRPr="00E25967">
              <w:rPr>
                <w:rFonts w:ascii="Arial" w:hAnsi="Arial" w:cs="Arial"/>
                <w:sz w:val="24"/>
                <w:szCs w:val="24"/>
              </w:rPr>
              <w:t xml:space="preserve"> </w:t>
            </w:r>
            <w:r w:rsidR="00F2358A">
              <w:rPr>
                <w:rFonts w:ascii="Arial" w:hAnsi="Arial" w:cs="Arial"/>
                <w:sz w:val="24"/>
                <w:szCs w:val="24"/>
              </w:rPr>
              <w:t>See response for A</w:t>
            </w:r>
            <w:r w:rsidR="00284C8F">
              <w:rPr>
                <w:rFonts w:ascii="Arial" w:hAnsi="Arial" w:cs="Arial"/>
                <w:sz w:val="24"/>
                <w:szCs w:val="24"/>
              </w:rPr>
              <w:t>5</w:t>
            </w:r>
            <w:r w:rsidR="00F2358A">
              <w:rPr>
                <w:rFonts w:ascii="Arial" w:hAnsi="Arial" w:cs="Arial"/>
                <w:sz w:val="24"/>
                <w:szCs w:val="24"/>
              </w:rPr>
              <w:t xml:space="preserve">. </w:t>
            </w:r>
          </w:p>
          <w:p w14:paraId="7AB31FFB" w14:textId="10647711" w:rsidR="00297D7E" w:rsidRPr="00E25967" w:rsidRDefault="00297D7E" w:rsidP="00EB40A3">
            <w:pPr>
              <w:ind w:left="322" w:hanging="322"/>
              <w:rPr>
                <w:rFonts w:ascii="Arial" w:hAnsi="Arial" w:cs="Arial"/>
                <w:sz w:val="24"/>
                <w:szCs w:val="24"/>
              </w:rPr>
            </w:pPr>
          </w:p>
          <w:p w14:paraId="7938782D" w14:textId="77777777" w:rsidR="00297D7E" w:rsidRPr="00E25967" w:rsidRDefault="00297D7E" w:rsidP="00EB40A3">
            <w:pPr>
              <w:ind w:left="322" w:hanging="322"/>
              <w:rPr>
                <w:rFonts w:ascii="Arial" w:hAnsi="Arial" w:cs="Arial"/>
                <w:sz w:val="24"/>
                <w:szCs w:val="24"/>
              </w:rPr>
            </w:pPr>
          </w:p>
          <w:p w14:paraId="1EA2885D" w14:textId="0503C9DC" w:rsidR="00EB40A3" w:rsidRPr="00E25967" w:rsidRDefault="00EB40A3" w:rsidP="00710981">
            <w:pPr>
              <w:ind w:left="322"/>
              <w:rPr>
                <w:rFonts w:ascii="Arial" w:hAnsi="Arial" w:cs="Arial"/>
                <w:b/>
                <w:sz w:val="24"/>
                <w:szCs w:val="24"/>
              </w:rPr>
            </w:pPr>
          </w:p>
        </w:tc>
      </w:tr>
      <w:tr w:rsidR="00EB40A3" w14:paraId="1D7B8FD1" w14:textId="77777777" w:rsidTr="00E25967">
        <w:tc>
          <w:tcPr>
            <w:tcW w:w="2814" w:type="dxa"/>
            <w:tcBorders>
              <w:top w:val="nil"/>
              <w:bottom w:val="nil"/>
            </w:tcBorders>
            <w:shd w:val="clear" w:color="auto" w:fill="auto"/>
          </w:tcPr>
          <w:p w14:paraId="04A669B7" w14:textId="77777777" w:rsidR="00EB40A3" w:rsidRDefault="00EB40A3" w:rsidP="003E61EE">
            <w:pPr>
              <w:jc w:val="center"/>
            </w:pPr>
          </w:p>
        </w:tc>
        <w:tc>
          <w:tcPr>
            <w:tcW w:w="1364" w:type="dxa"/>
            <w:tcBorders>
              <w:top w:val="nil"/>
              <w:bottom w:val="nil"/>
            </w:tcBorders>
            <w:shd w:val="clear" w:color="auto" w:fill="auto"/>
          </w:tcPr>
          <w:p w14:paraId="7F32404F" w14:textId="77777777" w:rsidR="00EB40A3" w:rsidRDefault="00EB40A3" w:rsidP="003E61EE">
            <w:pPr>
              <w:jc w:val="center"/>
            </w:pPr>
          </w:p>
        </w:tc>
        <w:tc>
          <w:tcPr>
            <w:tcW w:w="4374" w:type="dxa"/>
            <w:shd w:val="clear" w:color="auto" w:fill="auto"/>
          </w:tcPr>
          <w:p w14:paraId="7111436D" w14:textId="62743D14" w:rsidR="00E25967" w:rsidRPr="00E25967" w:rsidRDefault="000203BC" w:rsidP="00E25967">
            <w:pPr>
              <w:rPr>
                <w:rFonts w:ascii="Arial" w:hAnsi="Arial" w:cs="Arial"/>
                <w:color w:val="44546A"/>
                <w:sz w:val="24"/>
                <w:szCs w:val="24"/>
              </w:rPr>
            </w:pPr>
            <w:r w:rsidRPr="000203BC">
              <w:rPr>
                <w:rFonts w:ascii="Arial" w:hAnsi="Arial" w:cs="Arial"/>
                <w:b/>
                <w:iCs/>
                <w:sz w:val="24"/>
                <w:szCs w:val="24"/>
              </w:rPr>
              <w:t>A2</w:t>
            </w:r>
            <w:r>
              <w:rPr>
                <w:rFonts w:ascii="Arial" w:hAnsi="Arial" w:cs="Arial"/>
                <w:iCs/>
                <w:sz w:val="24"/>
                <w:szCs w:val="24"/>
              </w:rPr>
              <w:t xml:space="preserve">. </w:t>
            </w:r>
            <w:r w:rsidR="00E25967" w:rsidRPr="00E25967">
              <w:rPr>
                <w:rFonts w:ascii="Arial" w:hAnsi="Arial" w:cs="Arial"/>
                <w:iCs/>
                <w:sz w:val="24"/>
                <w:szCs w:val="24"/>
              </w:rPr>
              <w:t>Paragraph 13.  The proposal for decision making to be delegated to an official who is not a member of the senior civil service is not acceptable.  Withdrawal of approval is the final step in the hierarchy of enforcement and is not an action that should ever be taken in haste, there is therefore no need for such delegation.  If an operation needs to be stopped with immediate effect the appropriate notice should be used, for example an Emergency Prohibition Notice.</w:t>
            </w:r>
          </w:p>
          <w:p w14:paraId="45DA04B2" w14:textId="77777777" w:rsidR="00EB40A3" w:rsidRPr="00E25967" w:rsidRDefault="00EB40A3" w:rsidP="00EB40A3">
            <w:pPr>
              <w:autoSpaceDE w:val="0"/>
              <w:autoSpaceDN w:val="0"/>
              <w:adjustRightInd w:val="0"/>
              <w:ind w:left="322" w:hanging="322"/>
              <w:rPr>
                <w:rFonts w:ascii="Arial" w:eastAsiaTheme="minorHAnsi" w:hAnsi="Arial" w:cs="Arial"/>
                <w:b/>
                <w:color w:val="000000"/>
                <w:sz w:val="24"/>
                <w:szCs w:val="24"/>
                <w:lang w:eastAsia="en-US"/>
              </w:rPr>
            </w:pPr>
          </w:p>
        </w:tc>
        <w:tc>
          <w:tcPr>
            <w:tcW w:w="5477" w:type="dxa"/>
            <w:shd w:val="clear" w:color="auto" w:fill="auto"/>
          </w:tcPr>
          <w:p w14:paraId="0BE93CD1" w14:textId="77777777" w:rsidR="000203BC" w:rsidRDefault="000203BC" w:rsidP="00F2358A">
            <w:pPr>
              <w:ind w:left="97"/>
              <w:rPr>
                <w:rFonts w:ascii="Arial" w:hAnsi="Arial" w:cs="Arial"/>
                <w:sz w:val="24"/>
                <w:szCs w:val="24"/>
              </w:rPr>
            </w:pPr>
            <w:r w:rsidRPr="000203BC">
              <w:rPr>
                <w:rFonts w:ascii="Arial" w:hAnsi="Arial" w:cs="Arial"/>
                <w:b/>
                <w:sz w:val="24"/>
                <w:szCs w:val="24"/>
              </w:rPr>
              <w:t>A2.</w:t>
            </w:r>
            <w:r>
              <w:rPr>
                <w:rFonts w:ascii="Arial" w:hAnsi="Arial" w:cs="Arial"/>
                <w:sz w:val="24"/>
                <w:szCs w:val="24"/>
              </w:rPr>
              <w:t xml:space="preserve"> </w:t>
            </w:r>
            <w:r w:rsidR="00F2358A">
              <w:rPr>
                <w:rFonts w:ascii="Arial" w:hAnsi="Arial" w:cs="Arial"/>
                <w:sz w:val="24"/>
                <w:szCs w:val="24"/>
              </w:rPr>
              <w:t>A review of approval can run parallel to any enforcement action being taken.</w:t>
            </w:r>
            <w:r>
              <w:rPr>
                <w:rFonts w:ascii="Arial" w:hAnsi="Arial" w:cs="Arial"/>
                <w:sz w:val="24"/>
                <w:szCs w:val="24"/>
              </w:rPr>
              <w:t xml:space="preserve"> </w:t>
            </w:r>
            <w:r w:rsidR="00F2358A">
              <w:rPr>
                <w:rFonts w:ascii="Arial" w:hAnsi="Arial" w:cs="Arial"/>
                <w:sz w:val="24"/>
                <w:szCs w:val="24"/>
              </w:rPr>
              <w:t>However, the FSA acknowledges that the process, which affords a food business operator time to provide guarantees over future production</w:t>
            </w:r>
            <w:r>
              <w:rPr>
                <w:rFonts w:ascii="Arial" w:hAnsi="Arial" w:cs="Arial"/>
                <w:sz w:val="24"/>
                <w:szCs w:val="24"/>
              </w:rPr>
              <w:t xml:space="preserve">, can take time to reach its conclusion and as such should be taken by a SCS. </w:t>
            </w:r>
          </w:p>
          <w:p w14:paraId="57F2ED04" w14:textId="4D98FB9D" w:rsidR="00EB40A3" w:rsidRPr="00E25967" w:rsidRDefault="000203BC" w:rsidP="00F2358A">
            <w:pPr>
              <w:ind w:left="97"/>
              <w:rPr>
                <w:rFonts w:ascii="Arial" w:hAnsi="Arial" w:cs="Arial"/>
                <w:sz w:val="24"/>
                <w:szCs w:val="24"/>
              </w:rPr>
            </w:pPr>
            <w:r>
              <w:rPr>
                <w:rFonts w:ascii="Arial" w:hAnsi="Arial" w:cs="Arial"/>
                <w:sz w:val="24"/>
                <w:szCs w:val="24"/>
              </w:rPr>
              <w:t xml:space="preserve">Decisions to grant or refuse approval are often more time sensitive and on occasion may still need to be delegated to the most appropriate available official. </w:t>
            </w:r>
            <w:r w:rsidR="00F2358A">
              <w:rPr>
                <w:rFonts w:ascii="Arial" w:hAnsi="Arial" w:cs="Arial"/>
                <w:sz w:val="24"/>
                <w:szCs w:val="24"/>
              </w:rPr>
              <w:t xml:space="preserve"> </w:t>
            </w:r>
          </w:p>
        </w:tc>
      </w:tr>
      <w:tr w:rsidR="000203BC" w14:paraId="21FF8C0A" w14:textId="77777777" w:rsidTr="00E25967">
        <w:tc>
          <w:tcPr>
            <w:tcW w:w="2814" w:type="dxa"/>
            <w:tcBorders>
              <w:top w:val="nil"/>
              <w:bottom w:val="nil"/>
            </w:tcBorders>
            <w:shd w:val="clear" w:color="auto" w:fill="auto"/>
          </w:tcPr>
          <w:p w14:paraId="332B032E" w14:textId="77777777" w:rsidR="000203BC" w:rsidRDefault="000203BC" w:rsidP="003E61EE">
            <w:pPr>
              <w:jc w:val="center"/>
            </w:pPr>
          </w:p>
        </w:tc>
        <w:tc>
          <w:tcPr>
            <w:tcW w:w="1364" w:type="dxa"/>
            <w:tcBorders>
              <w:top w:val="nil"/>
              <w:bottom w:val="nil"/>
            </w:tcBorders>
            <w:shd w:val="clear" w:color="auto" w:fill="auto"/>
          </w:tcPr>
          <w:p w14:paraId="1425BCAD" w14:textId="77777777" w:rsidR="000203BC" w:rsidRDefault="000203BC" w:rsidP="003E61EE">
            <w:pPr>
              <w:jc w:val="center"/>
            </w:pPr>
          </w:p>
        </w:tc>
        <w:tc>
          <w:tcPr>
            <w:tcW w:w="4374" w:type="dxa"/>
            <w:shd w:val="clear" w:color="auto" w:fill="auto"/>
          </w:tcPr>
          <w:p w14:paraId="362524B0" w14:textId="24524514" w:rsidR="000203BC" w:rsidRPr="000203BC" w:rsidRDefault="000203BC" w:rsidP="000203BC">
            <w:pPr>
              <w:rPr>
                <w:rFonts w:ascii="Arial" w:hAnsi="Arial" w:cs="Arial"/>
                <w:iCs/>
                <w:sz w:val="24"/>
                <w:szCs w:val="24"/>
              </w:rPr>
            </w:pPr>
            <w:r w:rsidRPr="000203BC">
              <w:rPr>
                <w:rFonts w:ascii="Arial" w:hAnsi="Arial" w:cs="Arial"/>
                <w:b/>
                <w:iCs/>
                <w:sz w:val="24"/>
                <w:szCs w:val="24"/>
              </w:rPr>
              <w:t>A3.</w:t>
            </w:r>
            <w:r w:rsidRPr="000203BC">
              <w:rPr>
                <w:rFonts w:ascii="Arial" w:hAnsi="Arial" w:cs="Arial"/>
                <w:iCs/>
                <w:sz w:val="24"/>
                <w:szCs w:val="24"/>
              </w:rPr>
              <w:t xml:space="preserve"> Paragraph 15.  The FSA appear to be confused over what separation is required to ensure independence of decision making.  Although Jan Polley </w:t>
            </w:r>
            <w:r w:rsidRPr="000203BC">
              <w:rPr>
                <w:rFonts w:ascii="Arial" w:hAnsi="Arial" w:cs="Arial"/>
                <w:iCs/>
                <w:sz w:val="24"/>
                <w:szCs w:val="24"/>
              </w:rPr>
              <w:lastRenderedPageBreak/>
              <w:t xml:space="preserve">in her report suggested a separation between those responsible for approval and those responsible for audit, her imperative was for there to be separation between those involved in day to day enforcement at an establishment and those involved in approval (see Section 8, Conflicts of Interest).  Staff involved in making approval recommendations should not be involved in day to day enforcement, as they were at the recent case in </w:t>
            </w:r>
            <w:r>
              <w:rPr>
                <w:rFonts w:ascii="Arial" w:hAnsi="Arial" w:cs="Arial"/>
                <w:iCs/>
                <w:sz w:val="24"/>
                <w:szCs w:val="24"/>
              </w:rPr>
              <w:t xml:space="preserve">Norwich </w:t>
            </w:r>
            <w:r w:rsidRPr="000203BC">
              <w:rPr>
                <w:rFonts w:ascii="Arial" w:hAnsi="Arial" w:cs="Arial"/>
                <w:iCs/>
                <w:sz w:val="24"/>
                <w:szCs w:val="24"/>
              </w:rPr>
              <w:t>Crown Court.</w:t>
            </w:r>
          </w:p>
          <w:p w14:paraId="06C3FED6" w14:textId="77777777" w:rsidR="000203BC" w:rsidRPr="000203BC" w:rsidRDefault="000203BC" w:rsidP="00E25967">
            <w:pPr>
              <w:rPr>
                <w:rFonts w:ascii="Arial" w:hAnsi="Arial" w:cs="Arial"/>
                <w:b/>
                <w:iCs/>
                <w:sz w:val="24"/>
                <w:szCs w:val="24"/>
              </w:rPr>
            </w:pPr>
          </w:p>
        </w:tc>
        <w:tc>
          <w:tcPr>
            <w:tcW w:w="5477" w:type="dxa"/>
            <w:shd w:val="clear" w:color="auto" w:fill="auto"/>
          </w:tcPr>
          <w:p w14:paraId="2813FDE2" w14:textId="293CC13B" w:rsidR="000203BC" w:rsidRPr="000203BC" w:rsidRDefault="000203BC" w:rsidP="00F2358A">
            <w:pPr>
              <w:ind w:left="97"/>
              <w:rPr>
                <w:rFonts w:ascii="Arial" w:hAnsi="Arial" w:cs="Arial"/>
                <w:b/>
                <w:sz w:val="24"/>
                <w:szCs w:val="24"/>
              </w:rPr>
            </w:pPr>
            <w:r>
              <w:rPr>
                <w:rFonts w:ascii="Arial" w:hAnsi="Arial" w:cs="Arial"/>
                <w:b/>
                <w:sz w:val="24"/>
                <w:szCs w:val="24"/>
              </w:rPr>
              <w:lastRenderedPageBreak/>
              <w:t xml:space="preserve">A3. </w:t>
            </w:r>
            <w:r w:rsidR="00284C8F" w:rsidRPr="00284C8F">
              <w:rPr>
                <w:rFonts w:ascii="Arial" w:hAnsi="Arial" w:cs="Arial"/>
                <w:sz w:val="24"/>
                <w:szCs w:val="24"/>
              </w:rPr>
              <w:t>There is no material change being proposed to the policy here. Th</w:t>
            </w:r>
            <w:r w:rsidR="00284C8F">
              <w:rPr>
                <w:rFonts w:ascii="Arial" w:hAnsi="Arial" w:cs="Arial"/>
                <w:sz w:val="24"/>
                <w:szCs w:val="24"/>
              </w:rPr>
              <w:t xml:space="preserve">e responsibility for Field Veterinary Leaders to be responsible for recommendations on approval decisions has </w:t>
            </w:r>
            <w:r w:rsidR="00284C8F">
              <w:rPr>
                <w:rFonts w:ascii="Arial" w:hAnsi="Arial" w:cs="Arial"/>
                <w:sz w:val="24"/>
                <w:szCs w:val="24"/>
              </w:rPr>
              <w:lastRenderedPageBreak/>
              <w:t xml:space="preserve">been in place since 2014 </w:t>
            </w:r>
            <w:r w:rsidR="00352D72">
              <w:rPr>
                <w:rFonts w:ascii="Arial" w:hAnsi="Arial" w:cs="Arial"/>
                <w:sz w:val="24"/>
                <w:szCs w:val="24"/>
              </w:rPr>
              <w:t>following a restructure which was consulted upon with Industry</w:t>
            </w:r>
            <w:r w:rsidR="003D0A53">
              <w:rPr>
                <w:rFonts w:ascii="Arial" w:hAnsi="Arial" w:cs="Arial"/>
                <w:sz w:val="24"/>
                <w:szCs w:val="24"/>
              </w:rPr>
              <w:t xml:space="preserve">. Since 2014 we are not aware of any issues which have arisen from Field Veterinary Leaders being responsible for making such recommendations and this aspect was not criticised at the recent court case. Moreover, it is Field Veterinary Co-ordinators who are involved in the day to day enforcement activities.  </w:t>
            </w:r>
            <w:r w:rsidR="00352D72">
              <w:rPr>
                <w:rFonts w:ascii="Arial" w:hAnsi="Arial" w:cs="Arial"/>
                <w:sz w:val="24"/>
                <w:szCs w:val="24"/>
              </w:rPr>
              <w:t xml:space="preserve"> </w:t>
            </w:r>
            <w:r w:rsidR="00284C8F">
              <w:rPr>
                <w:rFonts w:ascii="Arial" w:hAnsi="Arial" w:cs="Arial"/>
                <w:sz w:val="24"/>
                <w:szCs w:val="24"/>
              </w:rPr>
              <w:t xml:space="preserve"> </w:t>
            </w:r>
            <w:r w:rsidR="00284C8F">
              <w:rPr>
                <w:rFonts w:ascii="Arial" w:hAnsi="Arial" w:cs="Arial"/>
                <w:b/>
                <w:sz w:val="24"/>
                <w:szCs w:val="24"/>
              </w:rPr>
              <w:t xml:space="preserve">  </w:t>
            </w:r>
          </w:p>
        </w:tc>
      </w:tr>
      <w:tr w:rsidR="00EB40A3" w14:paraId="7691E7A3" w14:textId="77777777" w:rsidTr="00E25967">
        <w:tc>
          <w:tcPr>
            <w:tcW w:w="2814" w:type="dxa"/>
            <w:tcBorders>
              <w:top w:val="nil"/>
              <w:bottom w:val="nil"/>
            </w:tcBorders>
            <w:shd w:val="clear" w:color="auto" w:fill="auto"/>
          </w:tcPr>
          <w:p w14:paraId="1484330B" w14:textId="77777777" w:rsidR="00EB40A3" w:rsidRDefault="00EB40A3" w:rsidP="003E61EE">
            <w:pPr>
              <w:jc w:val="center"/>
            </w:pPr>
          </w:p>
        </w:tc>
        <w:tc>
          <w:tcPr>
            <w:tcW w:w="1364" w:type="dxa"/>
            <w:tcBorders>
              <w:top w:val="nil"/>
              <w:bottom w:val="nil"/>
            </w:tcBorders>
            <w:shd w:val="clear" w:color="auto" w:fill="auto"/>
          </w:tcPr>
          <w:p w14:paraId="2EA6F2D5" w14:textId="77777777" w:rsidR="00EB40A3" w:rsidRDefault="00EB40A3" w:rsidP="003E61EE">
            <w:pPr>
              <w:jc w:val="center"/>
            </w:pPr>
          </w:p>
        </w:tc>
        <w:tc>
          <w:tcPr>
            <w:tcW w:w="4374" w:type="dxa"/>
            <w:shd w:val="clear" w:color="auto" w:fill="auto"/>
          </w:tcPr>
          <w:p w14:paraId="3D6718E2" w14:textId="05E28760" w:rsidR="00E25967" w:rsidRPr="00E25967" w:rsidRDefault="000203BC" w:rsidP="00E25967">
            <w:pPr>
              <w:rPr>
                <w:rFonts w:ascii="Arial" w:hAnsi="Arial" w:cs="Arial"/>
                <w:iCs/>
                <w:sz w:val="24"/>
                <w:szCs w:val="24"/>
              </w:rPr>
            </w:pPr>
            <w:r w:rsidRPr="000203BC">
              <w:rPr>
                <w:rFonts w:ascii="Arial" w:hAnsi="Arial" w:cs="Arial"/>
                <w:b/>
                <w:iCs/>
                <w:sz w:val="24"/>
                <w:szCs w:val="24"/>
              </w:rPr>
              <w:t>A</w:t>
            </w:r>
            <w:r>
              <w:rPr>
                <w:rFonts w:ascii="Arial" w:hAnsi="Arial" w:cs="Arial"/>
                <w:b/>
                <w:iCs/>
                <w:sz w:val="24"/>
                <w:szCs w:val="24"/>
              </w:rPr>
              <w:t>4</w:t>
            </w:r>
            <w:r w:rsidRPr="000203BC">
              <w:rPr>
                <w:rFonts w:ascii="Arial" w:hAnsi="Arial" w:cs="Arial"/>
                <w:b/>
                <w:iCs/>
                <w:sz w:val="24"/>
                <w:szCs w:val="24"/>
              </w:rPr>
              <w:t>.</w:t>
            </w:r>
            <w:r>
              <w:rPr>
                <w:rFonts w:ascii="Arial" w:hAnsi="Arial" w:cs="Arial"/>
                <w:iCs/>
                <w:sz w:val="24"/>
                <w:szCs w:val="24"/>
              </w:rPr>
              <w:t xml:space="preserve"> </w:t>
            </w:r>
            <w:r w:rsidR="00E25967" w:rsidRPr="00E25967">
              <w:rPr>
                <w:rFonts w:ascii="Arial" w:hAnsi="Arial" w:cs="Arial"/>
                <w:iCs/>
                <w:sz w:val="24"/>
                <w:szCs w:val="24"/>
              </w:rPr>
              <w:t>Deleted paragraphs 28 &amp; 29.  Reference to the Commission’s guidance document on implementation of Regulation 853/2004 should be maintained.  In what way is it out of date in relation to cold stores?</w:t>
            </w:r>
          </w:p>
          <w:p w14:paraId="55BE93F1" w14:textId="77777777" w:rsidR="00EB40A3" w:rsidRPr="00E25967" w:rsidRDefault="00EB40A3" w:rsidP="00AF4083">
            <w:pPr>
              <w:ind w:left="322"/>
              <w:rPr>
                <w:rFonts w:ascii="Arial" w:eastAsiaTheme="minorHAnsi" w:hAnsi="Arial" w:cs="Arial"/>
                <w:b/>
                <w:color w:val="000000"/>
                <w:sz w:val="24"/>
                <w:szCs w:val="24"/>
                <w:lang w:eastAsia="en-US"/>
              </w:rPr>
            </w:pPr>
          </w:p>
        </w:tc>
        <w:tc>
          <w:tcPr>
            <w:tcW w:w="5477" w:type="dxa"/>
            <w:shd w:val="clear" w:color="auto" w:fill="auto"/>
          </w:tcPr>
          <w:p w14:paraId="0B3E7818" w14:textId="0C18E0C1" w:rsidR="00EB40A3" w:rsidRPr="00E25967" w:rsidRDefault="000203BC" w:rsidP="00EB40A3">
            <w:pPr>
              <w:ind w:left="322" w:hanging="322"/>
              <w:rPr>
                <w:rFonts w:ascii="Arial" w:hAnsi="Arial" w:cs="Arial"/>
                <w:sz w:val="24"/>
                <w:szCs w:val="24"/>
              </w:rPr>
            </w:pPr>
            <w:r w:rsidRPr="000203BC">
              <w:rPr>
                <w:rFonts w:ascii="Arial" w:hAnsi="Arial" w:cs="Arial"/>
                <w:b/>
                <w:sz w:val="24"/>
                <w:szCs w:val="24"/>
              </w:rPr>
              <w:t>A</w:t>
            </w:r>
            <w:r>
              <w:rPr>
                <w:rFonts w:ascii="Arial" w:hAnsi="Arial" w:cs="Arial"/>
                <w:b/>
                <w:sz w:val="24"/>
                <w:szCs w:val="24"/>
              </w:rPr>
              <w:t>4</w:t>
            </w:r>
            <w:r>
              <w:rPr>
                <w:rFonts w:ascii="Arial" w:hAnsi="Arial" w:cs="Arial"/>
                <w:sz w:val="24"/>
                <w:szCs w:val="24"/>
              </w:rPr>
              <w:t xml:space="preserve">. The proposal to delete reference to these guidance documents was made purely in the belief they were no longer available from the Commission. They are indeed still published and available and therefore reference to these documents will remain.   </w:t>
            </w:r>
          </w:p>
        </w:tc>
      </w:tr>
      <w:tr w:rsidR="00E25967" w14:paraId="39FD2EF6" w14:textId="77777777" w:rsidTr="00E25967">
        <w:tc>
          <w:tcPr>
            <w:tcW w:w="2814" w:type="dxa"/>
            <w:tcBorders>
              <w:top w:val="nil"/>
              <w:bottom w:val="nil"/>
            </w:tcBorders>
            <w:shd w:val="clear" w:color="auto" w:fill="auto"/>
          </w:tcPr>
          <w:p w14:paraId="145CF4FE" w14:textId="77777777" w:rsidR="00E25967" w:rsidRDefault="00E25967" w:rsidP="003E61EE">
            <w:pPr>
              <w:jc w:val="center"/>
            </w:pPr>
          </w:p>
        </w:tc>
        <w:tc>
          <w:tcPr>
            <w:tcW w:w="1364" w:type="dxa"/>
            <w:tcBorders>
              <w:top w:val="nil"/>
              <w:bottom w:val="nil"/>
            </w:tcBorders>
            <w:shd w:val="clear" w:color="auto" w:fill="auto"/>
          </w:tcPr>
          <w:p w14:paraId="4D2F783C" w14:textId="77777777" w:rsidR="00E25967" w:rsidRDefault="00E25967" w:rsidP="003E61EE">
            <w:pPr>
              <w:jc w:val="center"/>
            </w:pPr>
          </w:p>
        </w:tc>
        <w:tc>
          <w:tcPr>
            <w:tcW w:w="4374" w:type="dxa"/>
            <w:shd w:val="clear" w:color="auto" w:fill="auto"/>
          </w:tcPr>
          <w:p w14:paraId="432516E2" w14:textId="2733ADF5" w:rsidR="00E25967" w:rsidRPr="00E25967" w:rsidRDefault="000203BC" w:rsidP="00E25967">
            <w:pPr>
              <w:rPr>
                <w:rFonts w:ascii="Arial" w:hAnsi="Arial" w:cs="Arial"/>
                <w:sz w:val="24"/>
                <w:szCs w:val="24"/>
              </w:rPr>
            </w:pPr>
            <w:r w:rsidRPr="000203BC">
              <w:rPr>
                <w:rFonts w:ascii="Arial" w:hAnsi="Arial" w:cs="Arial"/>
                <w:b/>
                <w:iCs/>
                <w:sz w:val="24"/>
                <w:szCs w:val="24"/>
              </w:rPr>
              <w:t>A</w:t>
            </w:r>
            <w:r>
              <w:rPr>
                <w:rFonts w:ascii="Arial" w:hAnsi="Arial" w:cs="Arial"/>
                <w:b/>
                <w:iCs/>
                <w:sz w:val="24"/>
                <w:szCs w:val="24"/>
              </w:rPr>
              <w:t>5</w:t>
            </w:r>
            <w:r w:rsidRPr="000203BC">
              <w:rPr>
                <w:rFonts w:ascii="Arial" w:hAnsi="Arial" w:cs="Arial"/>
                <w:b/>
                <w:iCs/>
                <w:sz w:val="24"/>
                <w:szCs w:val="24"/>
              </w:rPr>
              <w:t>.</w:t>
            </w:r>
            <w:r>
              <w:rPr>
                <w:rFonts w:ascii="Arial" w:hAnsi="Arial" w:cs="Arial"/>
                <w:iCs/>
                <w:sz w:val="24"/>
                <w:szCs w:val="24"/>
              </w:rPr>
              <w:t xml:space="preserve"> </w:t>
            </w:r>
            <w:r w:rsidR="00E25967" w:rsidRPr="00E25967">
              <w:rPr>
                <w:rFonts w:ascii="Arial" w:hAnsi="Arial" w:cs="Arial"/>
                <w:iCs/>
                <w:sz w:val="24"/>
                <w:szCs w:val="24"/>
              </w:rPr>
              <w:t xml:space="preserve">Paragraph 38.  Compliance with Food Law is the requirement for approval.  Animal health and welfare legislation is not part of food law as is clear from the title of Regulation 882/2004 on official controls performed to ensure the verification of compliance with feed and food law, animal health and animal welfare rules.  Reference to Regulation </w:t>
            </w:r>
            <w:r w:rsidR="00E25967" w:rsidRPr="00E25967">
              <w:rPr>
                <w:rFonts w:ascii="Arial" w:hAnsi="Arial" w:cs="Arial"/>
                <w:iCs/>
                <w:sz w:val="24"/>
                <w:szCs w:val="24"/>
              </w:rPr>
              <w:lastRenderedPageBreak/>
              <w:t>1099/2009, which is not part of Food Law should be removed.</w:t>
            </w:r>
            <w:r w:rsidR="00E25967" w:rsidRPr="00E25967">
              <w:rPr>
                <w:rFonts w:ascii="Arial" w:hAnsi="Arial" w:cs="Arial"/>
                <w:sz w:val="24"/>
                <w:szCs w:val="24"/>
              </w:rPr>
              <w:t xml:space="preserve">   </w:t>
            </w:r>
          </w:p>
          <w:p w14:paraId="00EBBDE3" w14:textId="77777777" w:rsidR="00E25967" w:rsidRPr="00E25967" w:rsidRDefault="00E25967" w:rsidP="00E25967">
            <w:pPr>
              <w:rPr>
                <w:rFonts w:ascii="Arial" w:hAnsi="Arial" w:cs="Arial"/>
                <w:sz w:val="24"/>
                <w:szCs w:val="24"/>
              </w:rPr>
            </w:pPr>
          </w:p>
          <w:p w14:paraId="6EE06283" w14:textId="77777777" w:rsidR="00E25967" w:rsidRPr="00E25967" w:rsidRDefault="00E25967" w:rsidP="00E25967">
            <w:pPr>
              <w:rPr>
                <w:rFonts w:ascii="Arial" w:hAnsi="Arial" w:cs="Arial"/>
                <w:sz w:val="24"/>
                <w:szCs w:val="24"/>
              </w:rPr>
            </w:pPr>
            <w:r w:rsidRPr="00E25967">
              <w:rPr>
                <w:rFonts w:ascii="Arial" w:hAnsi="Arial" w:cs="Arial"/>
                <w:sz w:val="24"/>
                <w:szCs w:val="24"/>
              </w:rPr>
              <w:t xml:space="preserve">Paragraph 49. Regulation 882/2004 Article 31 2 (c) requires operators to demonstrate compliance with food or feed law.  There is no mention of animal health and welfare rules, and references to them should be removed </w:t>
            </w:r>
          </w:p>
          <w:p w14:paraId="312465F9" w14:textId="3C042B3F" w:rsidR="00E25967" w:rsidRPr="00E25967" w:rsidRDefault="00E25967" w:rsidP="00E25967">
            <w:pPr>
              <w:ind w:left="322"/>
              <w:rPr>
                <w:rFonts w:ascii="Arial" w:eastAsiaTheme="minorHAnsi" w:hAnsi="Arial" w:cs="Arial"/>
                <w:b/>
                <w:color w:val="000000"/>
                <w:sz w:val="24"/>
                <w:szCs w:val="24"/>
                <w:lang w:eastAsia="en-US"/>
              </w:rPr>
            </w:pPr>
          </w:p>
        </w:tc>
        <w:tc>
          <w:tcPr>
            <w:tcW w:w="5477" w:type="dxa"/>
            <w:shd w:val="clear" w:color="auto" w:fill="auto"/>
          </w:tcPr>
          <w:p w14:paraId="5C68C291" w14:textId="5EB496AF" w:rsidR="00E25967" w:rsidRPr="003D0A53" w:rsidRDefault="000203BC" w:rsidP="00EB40A3">
            <w:pPr>
              <w:ind w:left="322" w:hanging="322"/>
              <w:rPr>
                <w:rFonts w:ascii="Arial" w:hAnsi="Arial" w:cs="Arial"/>
                <w:b/>
                <w:sz w:val="24"/>
                <w:szCs w:val="24"/>
              </w:rPr>
            </w:pPr>
            <w:r w:rsidRPr="003D0A53">
              <w:rPr>
                <w:rFonts w:ascii="Arial" w:hAnsi="Arial" w:cs="Arial"/>
                <w:b/>
                <w:sz w:val="24"/>
                <w:szCs w:val="24"/>
              </w:rPr>
              <w:lastRenderedPageBreak/>
              <w:t xml:space="preserve">A5. </w:t>
            </w:r>
            <w:r w:rsidR="003D0A53" w:rsidRPr="003D0A53">
              <w:rPr>
                <w:rFonts w:ascii="Arial" w:hAnsi="Arial" w:cs="Arial"/>
                <w:sz w:val="24"/>
                <w:szCs w:val="24"/>
              </w:rPr>
              <w:t xml:space="preserve">The FSA </w:t>
            </w:r>
            <w:r w:rsidR="008E21DC">
              <w:rPr>
                <w:rFonts w:ascii="Arial" w:hAnsi="Arial" w:cs="Arial"/>
                <w:sz w:val="24"/>
                <w:szCs w:val="24"/>
              </w:rPr>
              <w:t>considers</w:t>
            </w:r>
            <w:r w:rsidR="003D0A53" w:rsidRPr="003D0A53">
              <w:rPr>
                <w:rFonts w:ascii="Arial" w:hAnsi="Arial" w:cs="Arial"/>
                <w:sz w:val="24"/>
                <w:szCs w:val="24"/>
              </w:rPr>
              <w:t xml:space="preserve"> that animal welfare within slaughterhouses does form part of food law</w:t>
            </w:r>
            <w:r w:rsidR="008E21DC">
              <w:rPr>
                <w:rFonts w:ascii="Arial" w:hAnsi="Arial" w:cs="Arial"/>
                <w:sz w:val="24"/>
                <w:szCs w:val="24"/>
              </w:rPr>
              <w:t xml:space="preserve"> and that it </w:t>
            </w:r>
            <w:r w:rsidR="003D0A53" w:rsidRPr="003D0A53">
              <w:rPr>
                <w:rFonts w:ascii="Arial" w:hAnsi="Arial" w:cs="Arial"/>
                <w:bCs/>
                <w:iCs/>
                <w:color w:val="000000"/>
                <w:sz w:val="24"/>
                <w:szCs w:val="24"/>
              </w:rPr>
              <w:t xml:space="preserve">should </w:t>
            </w:r>
            <w:r w:rsidR="003D0A53">
              <w:rPr>
                <w:rFonts w:ascii="Arial" w:hAnsi="Arial" w:cs="Arial"/>
                <w:bCs/>
                <w:iCs/>
                <w:color w:val="000000"/>
                <w:sz w:val="24"/>
                <w:szCs w:val="24"/>
              </w:rPr>
              <w:t xml:space="preserve">form </w:t>
            </w:r>
            <w:r w:rsidR="003D0A53" w:rsidRPr="003D0A53">
              <w:rPr>
                <w:rFonts w:ascii="Arial" w:hAnsi="Arial" w:cs="Arial"/>
                <w:bCs/>
                <w:iCs/>
                <w:color w:val="000000"/>
                <w:sz w:val="24"/>
                <w:szCs w:val="24"/>
              </w:rPr>
              <w:t>part of the procedures for food business operators to follow when applying for approval of their establishments and equally may also be considered</w:t>
            </w:r>
            <w:r w:rsidR="003D0A53">
              <w:rPr>
                <w:rFonts w:ascii="Arial" w:hAnsi="Arial" w:cs="Arial"/>
                <w:bCs/>
                <w:iCs/>
                <w:color w:val="000000"/>
                <w:sz w:val="24"/>
                <w:szCs w:val="24"/>
              </w:rPr>
              <w:t xml:space="preserve"> in relation to a withd</w:t>
            </w:r>
            <w:r w:rsidR="008E21DC">
              <w:rPr>
                <w:rFonts w:ascii="Arial" w:hAnsi="Arial" w:cs="Arial"/>
                <w:bCs/>
                <w:iCs/>
                <w:color w:val="000000"/>
                <w:sz w:val="24"/>
                <w:szCs w:val="24"/>
              </w:rPr>
              <w:t>rawal or suspension of approval by the FSA.</w:t>
            </w:r>
            <w:r w:rsidR="003D0A53" w:rsidRPr="003D0A53">
              <w:rPr>
                <w:rFonts w:ascii="Arial" w:hAnsi="Arial" w:cs="Arial"/>
                <w:b/>
                <w:bCs/>
                <w:i/>
                <w:iCs/>
                <w:color w:val="000000"/>
                <w:sz w:val="24"/>
                <w:szCs w:val="24"/>
              </w:rPr>
              <w:t xml:space="preserve">  </w:t>
            </w:r>
            <w:r w:rsidR="003D0A53" w:rsidRPr="003D0A53">
              <w:rPr>
                <w:rFonts w:ascii="Arial" w:hAnsi="Arial" w:cs="Arial"/>
                <w:b/>
                <w:sz w:val="24"/>
                <w:szCs w:val="24"/>
              </w:rPr>
              <w:t xml:space="preserve"> </w:t>
            </w:r>
          </w:p>
        </w:tc>
      </w:tr>
      <w:tr w:rsidR="00E25967" w14:paraId="5009F52F" w14:textId="77777777" w:rsidTr="00E25967">
        <w:tc>
          <w:tcPr>
            <w:tcW w:w="2814" w:type="dxa"/>
            <w:tcBorders>
              <w:top w:val="nil"/>
              <w:bottom w:val="nil"/>
            </w:tcBorders>
            <w:shd w:val="clear" w:color="auto" w:fill="auto"/>
          </w:tcPr>
          <w:p w14:paraId="39FA7FB3" w14:textId="77777777" w:rsidR="00E25967" w:rsidRDefault="00E25967" w:rsidP="003E61EE">
            <w:pPr>
              <w:jc w:val="center"/>
            </w:pPr>
          </w:p>
        </w:tc>
        <w:tc>
          <w:tcPr>
            <w:tcW w:w="1364" w:type="dxa"/>
            <w:tcBorders>
              <w:top w:val="nil"/>
              <w:bottom w:val="nil"/>
            </w:tcBorders>
            <w:shd w:val="clear" w:color="auto" w:fill="auto"/>
          </w:tcPr>
          <w:p w14:paraId="5A01B617" w14:textId="77777777" w:rsidR="00E25967" w:rsidRDefault="00E25967" w:rsidP="003E61EE">
            <w:pPr>
              <w:jc w:val="center"/>
            </w:pPr>
          </w:p>
        </w:tc>
        <w:tc>
          <w:tcPr>
            <w:tcW w:w="4374" w:type="dxa"/>
            <w:shd w:val="clear" w:color="auto" w:fill="auto"/>
          </w:tcPr>
          <w:p w14:paraId="0EB375D0" w14:textId="187B7044" w:rsidR="00E25967" w:rsidRPr="00E25967" w:rsidRDefault="000203BC" w:rsidP="00E25967">
            <w:pPr>
              <w:autoSpaceDE w:val="0"/>
              <w:autoSpaceDN w:val="0"/>
              <w:adjustRightInd w:val="0"/>
              <w:ind w:left="322" w:hanging="322"/>
              <w:rPr>
                <w:rFonts w:ascii="Arial" w:eastAsiaTheme="minorHAnsi" w:hAnsi="Arial" w:cs="Arial"/>
                <w:b/>
                <w:color w:val="000000"/>
                <w:sz w:val="24"/>
                <w:szCs w:val="24"/>
                <w:lang w:eastAsia="en-US"/>
              </w:rPr>
            </w:pPr>
            <w:r w:rsidRPr="007E6C40">
              <w:rPr>
                <w:rFonts w:ascii="Arial" w:hAnsi="Arial" w:cs="Arial"/>
                <w:b/>
                <w:sz w:val="24"/>
                <w:szCs w:val="24"/>
              </w:rPr>
              <w:t>A6</w:t>
            </w:r>
            <w:r>
              <w:rPr>
                <w:rFonts w:ascii="Arial" w:hAnsi="Arial" w:cs="Arial"/>
                <w:sz w:val="24"/>
                <w:szCs w:val="24"/>
              </w:rPr>
              <w:t xml:space="preserve">. </w:t>
            </w:r>
            <w:r w:rsidR="00E25967" w:rsidRPr="00E25967">
              <w:rPr>
                <w:rFonts w:ascii="Arial" w:hAnsi="Arial" w:cs="Arial"/>
                <w:sz w:val="24"/>
                <w:szCs w:val="24"/>
              </w:rPr>
              <w:t xml:space="preserve">Paragraph 50.  The legal base is contained in Regulation 882/2004 Article 54. </w:t>
            </w:r>
            <w:r w:rsidR="00E25967" w:rsidRPr="00E25967">
              <w:rPr>
                <w:rFonts w:ascii="Arial" w:hAnsi="Arial" w:cs="Arial"/>
                <w:iCs/>
                <w:sz w:val="24"/>
                <w:szCs w:val="24"/>
              </w:rPr>
              <w:t xml:space="preserve">When deciding which action to take, the competent authority shall take account of the nature of the non-compliance and that operator's past record with regard to non-compliance. </w:t>
            </w:r>
            <w:r w:rsidR="00E25967" w:rsidRPr="00E25967">
              <w:rPr>
                <w:rFonts w:ascii="Arial" w:hAnsi="Arial" w:cs="Arial"/>
                <w:sz w:val="24"/>
                <w:szCs w:val="24"/>
              </w:rPr>
              <w:t xml:space="preserve">Reference should be made to the Article.  The relevant non-compliances concern Food Law and references to animal health and welfare rules should be removed.  As currently drafted the examples said to be relevant are far too subjective.  They should be limited to proven and serious non-compliances i.e. where guilt has been determined by a Court.  The recent case in Norwich Crown Court demonstrated that using unsubstantiated allegations to </w:t>
            </w:r>
            <w:r w:rsidR="00E25967" w:rsidRPr="00E25967">
              <w:rPr>
                <w:rFonts w:ascii="Arial" w:hAnsi="Arial" w:cs="Arial"/>
                <w:sz w:val="24"/>
                <w:szCs w:val="24"/>
              </w:rPr>
              <w:lastRenderedPageBreak/>
              <w:t>refuse approval is contrary to Public Law.  </w:t>
            </w:r>
          </w:p>
        </w:tc>
        <w:tc>
          <w:tcPr>
            <w:tcW w:w="5477" w:type="dxa"/>
            <w:shd w:val="clear" w:color="auto" w:fill="auto"/>
          </w:tcPr>
          <w:p w14:paraId="664B85D4" w14:textId="33D4F170" w:rsidR="006A6DA2" w:rsidRDefault="000203BC" w:rsidP="00CA5001">
            <w:pPr>
              <w:rPr>
                <w:rFonts w:ascii="Arial" w:hAnsi="Arial" w:cs="Arial"/>
                <w:sz w:val="24"/>
                <w:szCs w:val="24"/>
              </w:rPr>
            </w:pPr>
            <w:r w:rsidRPr="007E6C40">
              <w:rPr>
                <w:rFonts w:ascii="Arial" w:hAnsi="Arial" w:cs="Arial"/>
                <w:b/>
                <w:sz w:val="24"/>
                <w:szCs w:val="24"/>
              </w:rPr>
              <w:lastRenderedPageBreak/>
              <w:t>A6.</w:t>
            </w:r>
            <w:r>
              <w:rPr>
                <w:rFonts w:ascii="Arial" w:hAnsi="Arial" w:cs="Arial"/>
                <w:sz w:val="24"/>
                <w:szCs w:val="24"/>
              </w:rPr>
              <w:t xml:space="preserve"> </w:t>
            </w:r>
            <w:r w:rsidR="003D0A53">
              <w:rPr>
                <w:rFonts w:ascii="Arial" w:hAnsi="Arial" w:cs="Arial"/>
                <w:sz w:val="24"/>
                <w:szCs w:val="24"/>
              </w:rPr>
              <w:t>The FSA will consider all applicant</w:t>
            </w:r>
            <w:r w:rsidR="007E6C40">
              <w:rPr>
                <w:rFonts w:ascii="Arial" w:hAnsi="Arial" w:cs="Arial"/>
                <w:sz w:val="24"/>
                <w:szCs w:val="24"/>
              </w:rPr>
              <w:t>’</w:t>
            </w:r>
            <w:r w:rsidR="003D0A53">
              <w:rPr>
                <w:rFonts w:ascii="Arial" w:hAnsi="Arial" w:cs="Arial"/>
                <w:sz w:val="24"/>
                <w:szCs w:val="24"/>
              </w:rPr>
              <w:t xml:space="preserve">s ability to </w:t>
            </w:r>
            <w:r w:rsidR="006A6DA2">
              <w:rPr>
                <w:rFonts w:ascii="Arial" w:hAnsi="Arial" w:cs="Arial"/>
                <w:sz w:val="24"/>
                <w:szCs w:val="24"/>
              </w:rPr>
              <w:t xml:space="preserve">meet food hygiene and welfare requirements, the purpose of which are clear. </w:t>
            </w:r>
          </w:p>
          <w:p w14:paraId="68AF4694" w14:textId="77777777" w:rsidR="006A6DA2" w:rsidRDefault="006A6DA2" w:rsidP="00CA5001">
            <w:pPr>
              <w:rPr>
                <w:rFonts w:ascii="Arial" w:hAnsi="Arial" w:cs="Arial"/>
                <w:sz w:val="24"/>
                <w:szCs w:val="24"/>
              </w:rPr>
            </w:pPr>
          </w:p>
          <w:p w14:paraId="52071DDA" w14:textId="603D836F" w:rsidR="00A27D02" w:rsidRDefault="006A6DA2" w:rsidP="00CA5001">
            <w:pPr>
              <w:rPr>
                <w:rFonts w:ascii="Arial" w:hAnsi="Arial" w:cs="Arial"/>
                <w:sz w:val="24"/>
                <w:szCs w:val="24"/>
              </w:rPr>
            </w:pPr>
            <w:r>
              <w:rPr>
                <w:rFonts w:ascii="Arial" w:hAnsi="Arial" w:cs="Arial"/>
                <w:sz w:val="24"/>
                <w:szCs w:val="24"/>
              </w:rPr>
              <w:t xml:space="preserve">If the FSA was to limit its decision making to only those instances where a conviction was secured this would restrict our ability to act quickly as an effective regulator. </w:t>
            </w:r>
          </w:p>
          <w:p w14:paraId="32E81DF4" w14:textId="77777777" w:rsidR="008E21DC" w:rsidRDefault="008E21DC" w:rsidP="00CA5001">
            <w:pPr>
              <w:rPr>
                <w:rFonts w:ascii="Arial" w:hAnsi="Arial" w:cs="Arial"/>
                <w:sz w:val="24"/>
                <w:szCs w:val="24"/>
              </w:rPr>
            </w:pPr>
          </w:p>
          <w:p w14:paraId="609748A6" w14:textId="77777777" w:rsidR="007E6C40" w:rsidRDefault="00A27D02" w:rsidP="00CA5001">
            <w:pPr>
              <w:rPr>
                <w:rFonts w:ascii="Arial" w:hAnsi="Arial" w:cs="Arial"/>
                <w:sz w:val="24"/>
                <w:szCs w:val="24"/>
              </w:rPr>
            </w:pPr>
            <w:r>
              <w:rPr>
                <w:rFonts w:ascii="Arial" w:hAnsi="Arial" w:cs="Arial"/>
                <w:sz w:val="24"/>
                <w:szCs w:val="24"/>
              </w:rPr>
              <w:t xml:space="preserve">The recent court case being referred to was not in relation to how previous non-compliances were considered or relied upon. </w:t>
            </w:r>
          </w:p>
          <w:p w14:paraId="5454A8F1" w14:textId="77777777" w:rsidR="007E6C40" w:rsidRDefault="007E6C40" w:rsidP="00CA5001">
            <w:pPr>
              <w:rPr>
                <w:rFonts w:ascii="Arial" w:hAnsi="Arial" w:cs="Arial"/>
                <w:sz w:val="24"/>
                <w:szCs w:val="24"/>
              </w:rPr>
            </w:pPr>
          </w:p>
          <w:p w14:paraId="15BB5DCB" w14:textId="42F74C13" w:rsidR="007E6C40" w:rsidRPr="00E25967" w:rsidRDefault="00A27D02" w:rsidP="007E6C40">
            <w:pPr>
              <w:rPr>
                <w:rFonts w:ascii="Arial" w:hAnsi="Arial" w:cs="Arial"/>
                <w:sz w:val="24"/>
                <w:szCs w:val="24"/>
              </w:rPr>
            </w:pPr>
            <w:r>
              <w:rPr>
                <w:rFonts w:ascii="Arial" w:hAnsi="Arial" w:cs="Arial"/>
                <w:sz w:val="24"/>
                <w:szCs w:val="24"/>
              </w:rPr>
              <w:t xml:space="preserve">The </w:t>
            </w:r>
            <w:r w:rsidR="007E6C40">
              <w:rPr>
                <w:rFonts w:ascii="Arial" w:hAnsi="Arial" w:cs="Arial"/>
                <w:sz w:val="24"/>
                <w:szCs w:val="24"/>
              </w:rPr>
              <w:t xml:space="preserve">greater </w:t>
            </w:r>
            <w:r>
              <w:rPr>
                <w:rFonts w:ascii="Arial" w:hAnsi="Arial" w:cs="Arial"/>
                <w:sz w:val="24"/>
                <w:szCs w:val="24"/>
              </w:rPr>
              <w:t>transparency being provided with the insertion of this paragraph is in response to some food business operators whose attitude towards the safe production of food or animal welfare is lacking</w:t>
            </w:r>
            <w:r w:rsidR="007E6C40">
              <w:rPr>
                <w:rFonts w:ascii="Arial" w:hAnsi="Arial" w:cs="Arial"/>
                <w:sz w:val="24"/>
                <w:szCs w:val="24"/>
              </w:rPr>
              <w:t xml:space="preserve"> and for which a further application to operate as a food business operator brings with it no real prospect of improvement. </w:t>
            </w:r>
          </w:p>
        </w:tc>
      </w:tr>
      <w:tr w:rsidR="00E25967" w:rsidRPr="00E25967" w14:paraId="28257900" w14:textId="77777777" w:rsidTr="00E25967">
        <w:tc>
          <w:tcPr>
            <w:tcW w:w="2814" w:type="dxa"/>
            <w:tcBorders>
              <w:top w:val="nil"/>
              <w:bottom w:val="nil"/>
            </w:tcBorders>
            <w:shd w:val="clear" w:color="auto" w:fill="auto"/>
          </w:tcPr>
          <w:p w14:paraId="79EB0496" w14:textId="336D5633" w:rsidR="00E25967" w:rsidRPr="00E25967" w:rsidRDefault="00E25967" w:rsidP="003E61EE">
            <w:pPr>
              <w:jc w:val="center"/>
              <w:rPr>
                <w:rFonts w:ascii="Arial" w:hAnsi="Arial" w:cs="Arial"/>
                <w:sz w:val="24"/>
                <w:szCs w:val="24"/>
              </w:rPr>
            </w:pPr>
          </w:p>
        </w:tc>
        <w:tc>
          <w:tcPr>
            <w:tcW w:w="1364" w:type="dxa"/>
            <w:tcBorders>
              <w:top w:val="nil"/>
              <w:bottom w:val="nil"/>
            </w:tcBorders>
            <w:shd w:val="clear" w:color="auto" w:fill="auto"/>
          </w:tcPr>
          <w:p w14:paraId="481BE09C" w14:textId="77777777" w:rsidR="00E25967" w:rsidRPr="00E25967" w:rsidRDefault="00E25967" w:rsidP="003E61EE">
            <w:pPr>
              <w:jc w:val="center"/>
              <w:rPr>
                <w:rFonts w:ascii="Arial" w:hAnsi="Arial" w:cs="Arial"/>
                <w:sz w:val="24"/>
                <w:szCs w:val="24"/>
              </w:rPr>
            </w:pPr>
          </w:p>
        </w:tc>
        <w:tc>
          <w:tcPr>
            <w:tcW w:w="4374" w:type="dxa"/>
            <w:shd w:val="clear" w:color="auto" w:fill="auto"/>
          </w:tcPr>
          <w:p w14:paraId="45EE8885" w14:textId="15E9B4B9" w:rsidR="00E25967" w:rsidRPr="00E25967" w:rsidRDefault="000203BC" w:rsidP="00E25967">
            <w:pPr>
              <w:jc w:val="both"/>
              <w:rPr>
                <w:rFonts w:ascii="Arial" w:hAnsi="Arial" w:cs="Arial"/>
                <w:sz w:val="24"/>
                <w:szCs w:val="24"/>
              </w:rPr>
            </w:pPr>
            <w:r w:rsidRPr="00B1630C">
              <w:rPr>
                <w:rFonts w:ascii="Arial" w:hAnsi="Arial" w:cs="Arial"/>
                <w:b/>
                <w:sz w:val="24"/>
                <w:szCs w:val="24"/>
              </w:rPr>
              <w:t>A7</w:t>
            </w:r>
            <w:r>
              <w:rPr>
                <w:rFonts w:ascii="Arial" w:hAnsi="Arial" w:cs="Arial"/>
                <w:sz w:val="24"/>
                <w:szCs w:val="24"/>
              </w:rPr>
              <w:t xml:space="preserve">. </w:t>
            </w:r>
            <w:r w:rsidR="00E25967" w:rsidRPr="00E25967">
              <w:rPr>
                <w:rFonts w:ascii="Arial" w:hAnsi="Arial" w:cs="Arial"/>
                <w:sz w:val="24"/>
                <w:szCs w:val="24"/>
              </w:rPr>
              <w:t xml:space="preserve">Paragraph 61.  Following the case referred to above, this paragraph needs expanding to set out a fair procedure for refusing to grant full approval as referred to by HHJ Bate in his judgment.  That procedure must include providing the operator with a report and the reasons why full approval is not being granted as required by Regulation 882/2004 Article 54 3 (a).  </w:t>
            </w:r>
          </w:p>
          <w:p w14:paraId="70848CB9" w14:textId="2028526B" w:rsidR="00E25967" w:rsidRPr="00E25967" w:rsidRDefault="00E25967" w:rsidP="007E6C40">
            <w:pPr>
              <w:jc w:val="both"/>
              <w:rPr>
                <w:rFonts w:ascii="Arial" w:eastAsiaTheme="minorHAnsi" w:hAnsi="Arial" w:cs="Arial"/>
                <w:b/>
                <w:color w:val="000000"/>
                <w:sz w:val="24"/>
                <w:szCs w:val="24"/>
                <w:lang w:eastAsia="en-US"/>
              </w:rPr>
            </w:pPr>
          </w:p>
        </w:tc>
        <w:tc>
          <w:tcPr>
            <w:tcW w:w="5477" w:type="dxa"/>
            <w:shd w:val="clear" w:color="auto" w:fill="auto"/>
          </w:tcPr>
          <w:p w14:paraId="566AFCBF" w14:textId="77777777" w:rsidR="00B1630C" w:rsidRDefault="000203BC" w:rsidP="00EB40A3">
            <w:pPr>
              <w:ind w:left="322" w:hanging="322"/>
              <w:rPr>
                <w:rFonts w:ascii="Arial" w:hAnsi="Arial" w:cs="Arial"/>
                <w:sz w:val="24"/>
                <w:szCs w:val="24"/>
              </w:rPr>
            </w:pPr>
            <w:r w:rsidRPr="00B1630C">
              <w:rPr>
                <w:rFonts w:ascii="Arial" w:hAnsi="Arial" w:cs="Arial"/>
                <w:b/>
                <w:sz w:val="24"/>
                <w:szCs w:val="24"/>
              </w:rPr>
              <w:t>A7</w:t>
            </w:r>
            <w:r>
              <w:rPr>
                <w:rFonts w:ascii="Arial" w:hAnsi="Arial" w:cs="Arial"/>
                <w:sz w:val="24"/>
                <w:szCs w:val="24"/>
              </w:rPr>
              <w:t xml:space="preserve">. </w:t>
            </w:r>
            <w:r w:rsidR="007E6C40">
              <w:rPr>
                <w:rFonts w:ascii="Arial" w:hAnsi="Arial" w:cs="Arial"/>
                <w:sz w:val="24"/>
                <w:szCs w:val="24"/>
              </w:rPr>
              <w:t xml:space="preserve">The procedure for approval referred to at paragraph is clear and is directed by EU Regulations. </w:t>
            </w:r>
          </w:p>
          <w:p w14:paraId="79DAE2BE" w14:textId="77777777" w:rsidR="00B1630C" w:rsidRDefault="00B1630C" w:rsidP="00EB40A3">
            <w:pPr>
              <w:ind w:left="322" w:hanging="322"/>
              <w:rPr>
                <w:rFonts w:ascii="Arial" w:hAnsi="Arial" w:cs="Arial"/>
                <w:sz w:val="24"/>
                <w:szCs w:val="24"/>
              </w:rPr>
            </w:pPr>
          </w:p>
          <w:p w14:paraId="70AF7BD9" w14:textId="47396EBF" w:rsidR="00B1630C" w:rsidRDefault="00B1630C" w:rsidP="00EB40A3">
            <w:pPr>
              <w:ind w:left="322" w:hanging="322"/>
              <w:rPr>
                <w:rFonts w:ascii="Arial" w:hAnsi="Arial" w:cs="Arial"/>
                <w:sz w:val="24"/>
                <w:szCs w:val="24"/>
              </w:rPr>
            </w:pPr>
            <w:r>
              <w:rPr>
                <w:rFonts w:ascii="Arial" w:hAnsi="Arial" w:cs="Arial"/>
                <w:sz w:val="24"/>
                <w:szCs w:val="24"/>
              </w:rPr>
              <w:t>When an establishment is refused approval the full reasons are set out.</w:t>
            </w:r>
          </w:p>
          <w:p w14:paraId="09D204AD" w14:textId="77777777" w:rsidR="00B1630C" w:rsidRDefault="00B1630C" w:rsidP="00EB40A3">
            <w:pPr>
              <w:ind w:left="322" w:hanging="322"/>
              <w:rPr>
                <w:rFonts w:ascii="Arial" w:hAnsi="Arial" w:cs="Arial"/>
                <w:sz w:val="24"/>
                <w:szCs w:val="24"/>
              </w:rPr>
            </w:pPr>
          </w:p>
          <w:p w14:paraId="28177D0F" w14:textId="031110C6" w:rsidR="00E25967" w:rsidRPr="00E25967" w:rsidRDefault="00B1630C" w:rsidP="00EB40A3">
            <w:pPr>
              <w:ind w:left="322" w:hanging="322"/>
              <w:rPr>
                <w:rFonts w:ascii="Arial" w:hAnsi="Arial" w:cs="Arial"/>
                <w:sz w:val="24"/>
                <w:szCs w:val="24"/>
              </w:rPr>
            </w:pPr>
            <w:r>
              <w:rPr>
                <w:rFonts w:ascii="Arial" w:hAnsi="Arial" w:cs="Arial"/>
                <w:sz w:val="24"/>
                <w:szCs w:val="24"/>
              </w:rPr>
              <w:t xml:space="preserve">The recent case being referred to dealt with a unique and unforeseen incident. </w:t>
            </w:r>
          </w:p>
        </w:tc>
      </w:tr>
      <w:tr w:rsidR="007E6C40" w:rsidRPr="00E25967" w14:paraId="3B1374FB" w14:textId="77777777" w:rsidTr="00E25967">
        <w:tc>
          <w:tcPr>
            <w:tcW w:w="2814" w:type="dxa"/>
            <w:tcBorders>
              <w:top w:val="nil"/>
              <w:bottom w:val="nil"/>
            </w:tcBorders>
            <w:shd w:val="clear" w:color="auto" w:fill="auto"/>
          </w:tcPr>
          <w:p w14:paraId="4E49A282" w14:textId="77777777" w:rsidR="007E6C40" w:rsidRDefault="007E6C40" w:rsidP="003E61EE">
            <w:pPr>
              <w:jc w:val="center"/>
              <w:rPr>
                <w:rFonts w:ascii="Arial" w:hAnsi="Arial" w:cs="Arial"/>
                <w:sz w:val="24"/>
                <w:szCs w:val="24"/>
              </w:rPr>
            </w:pPr>
          </w:p>
        </w:tc>
        <w:tc>
          <w:tcPr>
            <w:tcW w:w="1364" w:type="dxa"/>
            <w:tcBorders>
              <w:top w:val="nil"/>
              <w:bottom w:val="nil"/>
            </w:tcBorders>
            <w:shd w:val="clear" w:color="auto" w:fill="auto"/>
          </w:tcPr>
          <w:p w14:paraId="79EC373B" w14:textId="77777777" w:rsidR="007E6C40" w:rsidRPr="00E25967" w:rsidRDefault="007E6C40" w:rsidP="003E61EE">
            <w:pPr>
              <w:jc w:val="center"/>
              <w:rPr>
                <w:rFonts w:ascii="Arial" w:hAnsi="Arial" w:cs="Arial"/>
                <w:sz w:val="24"/>
                <w:szCs w:val="24"/>
              </w:rPr>
            </w:pPr>
          </w:p>
        </w:tc>
        <w:tc>
          <w:tcPr>
            <w:tcW w:w="4374" w:type="dxa"/>
            <w:shd w:val="clear" w:color="auto" w:fill="auto"/>
          </w:tcPr>
          <w:p w14:paraId="747B8F8E" w14:textId="6082FB07" w:rsidR="007E6C40" w:rsidRPr="00E25967" w:rsidRDefault="007E6C40" w:rsidP="007E6C40">
            <w:pPr>
              <w:jc w:val="both"/>
              <w:rPr>
                <w:rFonts w:ascii="Arial" w:hAnsi="Arial" w:cs="Arial"/>
                <w:sz w:val="24"/>
                <w:szCs w:val="24"/>
              </w:rPr>
            </w:pPr>
            <w:r w:rsidRPr="00B1630C">
              <w:rPr>
                <w:rFonts w:ascii="Arial" w:hAnsi="Arial" w:cs="Arial"/>
                <w:b/>
                <w:iCs/>
                <w:sz w:val="24"/>
                <w:szCs w:val="24"/>
              </w:rPr>
              <w:t>A8.</w:t>
            </w:r>
            <w:r>
              <w:rPr>
                <w:rFonts w:ascii="Arial" w:hAnsi="Arial" w:cs="Arial"/>
                <w:iCs/>
                <w:sz w:val="24"/>
                <w:szCs w:val="24"/>
              </w:rPr>
              <w:t xml:space="preserve"> </w:t>
            </w:r>
            <w:r w:rsidRPr="00E25967">
              <w:rPr>
                <w:rFonts w:ascii="Arial" w:hAnsi="Arial" w:cs="Arial"/>
                <w:iCs/>
                <w:sz w:val="24"/>
                <w:szCs w:val="24"/>
              </w:rPr>
              <w:t xml:space="preserve">Paragraph 72.  Granting approval to two operators to slaughter in one slaughterhouse led to the confusion that resulted in FSA having been found to have been procedurally unfair in the Norwich Crown Court case.  It is contrary to the guidance contained in the Commission’s guidance referred to in the deleted paragraphs 28 and 29, which, when referring to wholesale markets advise that a single operator or company should be responsible for common areas.  For slaughterhouses there should only be 1 FBO, who can contract kill for others if need be.  For establishments with shared facilities 1 FBO should be responsible for the </w:t>
            </w:r>
            <w:r w:rsidRPr="00E25967">
              <w:rPr>
                <w:rFonts w:ascii="Arial" w:hAnsi="Arial" w:cs="Arial"/>
                <w:iCs/>
                <w:sz w:val="24"/>
                <w:szCs w:val="24"/>
              </w:rPr>
              <w:lastRenderedPageBreak/>
              <w:t>shared areas.  The paragraph needs considerable amendment</w:t>
            </w:r>
            <w:r w:rsidRPr="00E25967">
              <w:rPr>
                <w:rFonts w:ascii="Arial" w:hAnsi="Arial" w:cs="Arial"/>
                <w:sz w:val="24"/>
                <w:szCs w:val="24"/>
              </w:rPr>
              <w:t>.</w:t>
            </w:r>
          </w:p>
          <w:p w14:paraId="760FC2C0" w14:textId="77777777" w:rsidR="007E6C40" w:rsidRDefault="007E6C40" w:rsidP="00E25967">
            <w:pPr>
              <w:jc w:val="both"/>
              <w:rPr>
                <w:rFonts w:ascii="Arial" w:hAnsi="Arial" w:cs="Arial"/>
                <w:sz w:val="24"/>
                <w:szCs w:val="24"/>
              </w:rPr>
            </w:pPr>
          </w:p>
        </w:tc>
        <w:tc>
          <w:tcPr>
            <w:tcW w:w="5477" w:type="dxa"/>
            <w:shd w:val="clear" w:color="auto" w:fill="auto"/>
          </w:tcPr>
          <w:p w14:paraId="2C72771D" w14:textId="057F06CD" w:rsidR="007E6C40" w:rsidRDefault="00B1630C" w:rsidP="00EB40A3">
            <w:pPr>
              <w:ind w:left="322" w:hanging="322"/>
              <w:rPr>
                <w:rFonts w:ascii="Arial" w:hAnsi="Arial" w:cs="Arial"/>
                <w:b/>
                <w:sz w:val="24"/>
                <w:szCs w:val="24"/>
              </w:rPr>
            </w:pPr>
            <w:r w:rsidRPr="00B1630C">
              <w:rPr>
                <w:rFonts w:ascii="Arial" w:hAnsi="Arial" w:cs="Arial"/>
                <w:b/>
                <w:sz w:val="24"/>
                <w:szCs w:val="24"/>
              </w:rPr>
              <w:lastRenderedPageBreak/>
              <w:t xml:space="preserve">A8. </w:t>
            </w:r>
            <w:r w:rsidRPr="00B1630C">
              <w:rPr>
                <w:rFonts w:ascii="Arial" w:hAnsi="Arial" w:cs="Arial"/>
                <w:sz w:val="24"/>
                <w:szCs w:val="24"/>
              </w:rPr>
              <w:t>Two food business operators operating on a time and/or space separation basis is not contrary to law.</w:t>
            </w:r>
            <w:r>
              <w:rPr>
                <w:rFonts w:ascii="Arial" w:hAnsi="Arial" w:cs="Arial"/>
                <w:b/>
                <w:sz w:val="24"/>
                <w:szCs w:val="24"/>
              </w:rPr>
              <w:t xml:space="preserve"> </w:t>
            </w:r>
          </w:p>
          <w:p w14:paraId="4F1CD4E9" w14:textId="77777777" w:rsidR="00B1630C" w:rsidRDefault="00B1630C" w:rsidP="00EB40A3">
            <w:pPr>
              <w:ind w:left="322" w:hanging="322"/>
              <w:rPr>
                <w:rFonts w:ascii="Arial" w:hAnsi="Arial" w:cs="Arial"/>
                <w:b/>
                <w:sz w:val="24"/>
                <w:szCs w:val="24"/>
              </w:rPr>
            </w:pPr>
          </w:p>
          <w:p w14:paraId="592EC3DC" w14:textId="77777777" w:rsidR="00B1630C" w:rsidRDefault="00B1630C" w:rsidP="00B1630C">
            <w:pPr>
              <w:rPr>
                <w:rFonts w:ascii="Arial" w:hAnsi="Arial" w:cs="Arial"/>
                <w:sz w:val="24"/>
                <w:szCs w:val="24"/>
              </w:rPr>
            </w:pPr>
            <w:r w:rsidRPr="00B1630C">
              <w:rPr>
                <w:rFonts w:ascii="Arial" w:hAnsi="Arial" w:cs="Arial"/>
                <w:sz w:val="24"/>
                <w:szCs w:val="24"/>
              </w:rPr>
              <w:t xml:space="preserve">The FSA is content with the process for contract kills but it should be remembered that in this case, it was not an arrangement that </w:t>
            </w:r>
            <w:r>
              <w:rPr>
                <w:rFonts w:ascii="Arial" w:hAnsi="Arial" w:cs="Arial"/>
                <w:sz w:val="24"/>
                <w:szCs w:val="24"/>
              </w:rPr>
              <w:t xml:space="preserve">either of the two </w:t>
            </w:r>
            <w:r w:rsidRPr="00B1630C">
              <w:rPr>
                <w:rFonts w:ascii="Arial" w:hAnsi="Arial" w:cs="Arial"/>
                <w:sz w:val="24"/>
                <w:szCs w:val="24"/>
              </w:rPr>
              <w:t xml:space="preserve">FBOs wanted or sought.  It is potentially damaging to Industry to restrict the ability for multiple FBOs to maximise the use of an under-utilised premises. </w:t>
            </w:r>
          </w:p>
          <w:p w14:paraId="516BE809" w14:textId="77777777" w:rsidR="00B1630C" w:rsidRDefault="00B1630C" w:rsidP="00B1630C">
            <w:pPr>
              <w:rPr>
                <w:rFonts w:ascii="Arial" w:hAnsi="Arial" w:cs="Arial"/>
                <w:sz w:val="24"/>
                <w:szCs w:val="24"/>
              </w:rPr>
            </w:pPr>
          </w:p>
          <w:p w14:paraId="41072886" w14:textId="263B3DF5" w:rsidR="00B1630C" w:rsidRPr="00B1630C" w:rsidRDefault="00B1630C" w:rsidP="00B1630C">
            <w:pPr>
              <w:rPr>
                <w:rFonts w:ascii="Arial" w:hAnsi="Arial" w:cs="Arial"/>
                <w:sz w:val="24"/>
                <w:szCs w:val="24"/>
              </w:rPr>
            </w:pPr>
            <w:r>
              <w:rPr>
                <w:rFonts w:ascii="Arial" w:hAnsi="Arial" w:cs="Arial"/>
                <w:sz w:val="24"/>
                <w:szCs w:val="24"/>
              </w:rPr>
              <w:t xml:space="preserve">Instead the FSA will in future, if presented with the same situation, </w:t>
            </w:r>
            <w:r w:rsidRPr="00B1630C">
              <w:rPr>
                <w:rFonts w:ascii="Arial" w:hAnsi="Arial" w:cs="Arial"/>
                <w:sz w:val="24"/>
                <w:szCs w:val="24"/>
              </w:rPr>
              <w:t>consider stricter governance around the use of time separation slaughter activities and remove flexibility which was allowed in the referenced case.</w:t>
            </w:r>
          </w:p>
          <w:p w14:paraId="55AF2461" w14:textId="03C4B578" w:rsidR="00B1630C" w:rsidRPr="00B1630C" w:rsidRDefault="00B1630C" w:rsidP="00EB40A3">
            <w:pPr>
              <w:ind w:left="322" w:hanging="322"/>
              <w:rPr>
                <w:rFonts w:ascii="Arial" w:hAnsi="Arial" w:cs="Arial"/>
                <w:b/>
                <w:sz w:val="24"/>
                <w:szCs w:val="24"/>
              </w:rPr>
            </w:pPr>
          </w:p>
        </w:tc>
      </w:tr>
      <w:tr w:rsidR="00E25967" w:rsidRPr="00E25967" w14:paraId="62AF5ED6" w14:textId="77777777" w:rsidTr="00E25967">
        <w:tc>
          <w:tcPr>
            <w:tcW w:w="2814" w:type="dxa"/>
            <w:tcBorders>
              <w:top w:val="nil"/>
              <w:bottom w:val="single" w:sz="4" w:space="0" w:color="auto"/>
            </w:tcBorders>
            <w:shd w:val="clear" w:color="auto" w:fill="auto"/>
          </w:tcPr>
          <w:p w14:paraId="54ED3CBB" w14:textId="77777777" w:rsidR="00E25967" w:rsidRPr="00E25967" w:rsidRDefault="00E25967" w:rsidP="003E61EE">
            <w:pPr>
              <w:jc w:val="center"/>
              <w:rPr>
                <w:rFonts w:ascii="Arial" w:hAnsi="Arial" w:cs="Arial"/>
                <w:sz w:val="24"/>
                <w:szCs w:val="24"/>
              </w:rPr>
            </w:pPr>
          </w:p>
        </w:tc>
        <w:tc>
          <w:tcPr>
            <w:tcW w:w="1364" w:type="dxa"/>
            <w:tcBorders>
              <w:top w:val="nil"/>
              <w:bottom w:val="single" w:sz="4" w:space="0" w:color="auto"/>
            </w:tcBorders>
            <w:shd w:val="clear" w:color="auto" w:fill="auto"/>
          </w:tcPr>
          <w:p w14:paraId="2C3FC09B" w14:textId="77777777" w:rsidR="00E25967" w:rsidRPr="00E25967" w:rsidRDefault="00E25967" w:rsidP="003E61EE">
            <w:pPr>
              <w:jc w:val="center"/>
              <w:rPr>
                <w:rFonts w:ascii="Arial" w:hAnsi="Arial" w:cs="Arial"/>
                <w:sz w:val="24"/>
                <w:szCs w:val="24"/>
              </w:rPr>
            </w:pPr>
          </w:p>
        </w:tc>
        <w:tc>
          <w:tcPr>
            <w:tcW w:w="4374" w:type="dxa"/>
            <w:tcBorders>
              <w:bottom w:val="single" w:sz="4" w:space="0" w:color="auto"/>
            </w:tcBorders>
            <w:shd w:val="clear" w:color="auto" w:fill="auto"/>
          </w:tcPr>
          <w:p w14:paraId="24CCB8A7" w14:textId="43320B92" w:rsidR="00E25967" w:rsidRPr="00E25967" w:rsidRDefault="000203BC" w:rsidP="00E25967">
            <w:pPr>
              <w:autoSpaceDE w:val="0"/>
              <w:autoSpaceDN w:val="0"/>
              <w:adjustRightInd w:val="0"/>
              <w:ind w:left="322" w:hanging="322"/>
              <w:jc w:val="both"/>
              <w:rPr>
                <w:rFonts w:ascii="Arial" w:eastAsiaTheme="minorHAnsi" w:hAnsi="Arial" w:cs="Arial"/>
                <w:b/>
                <w:color w:val="000000"/>
                <w:sz w:val="24"/>
                <w:szCs w:val="24"/>
                <w:lang w:eastAsia="en-US"/>
              </w:rPr>
            </w:pPr>
            <w:r w:rsidRPr="00EB44F2">
              <w:rPr>
                <w:rFonts w:ascii="Arial" w:hAnsi="Arial" w:cs="Arial"/>
                <w:b/>
                <w:iCs/>
                <w:sz w:val="24"/>
                <w:szCs w:val="24"/>
              </w:rPr>
              <w:t>A</w:t>
            </w:r>
            <w:r w:rsidR="007E6C40" w:rsidRPr="00EB44F2">
              <w:rPr>
                <w:rFonts w:ascii="Arial" w:hAnsi="Arial" w:cs="Arial"/>
                <w:b/>
                <w:iCs/>
                <w:sz w:val="24"/>
                <w:szCs w:val="24"/>
              </w:rPr>
              <w:t>9</w:t>
            </w:r>
            <w:r>
              <w:rPr>
                <w:rFonts w:ascii="Arial" w:hAnsi="Arial" w:cs="Arial"/>
                <w:iCs/>
                <w:sz w:val="24"/>
                <w:szCs w:val="24"/>
              </w:rPr>
              <w:t xml:space="preserve">. </w:t>
            </w:r>
            <w:r w:rsidR="00E25967" w:rsidRPr="00E25967">
              <w:rPr>
                <w:rFonts w:ascii="Arial" w:hAnsi="Arial" w:cs="Arial"/>
                <w:iCs/>
                <w:sz w:val="24"/>
                <w:szCs w:val="24"/>
              </w:rPr>
              <w:t>Annex E.  CCTV being a welfare issue is not part of Food Law and should not be included in the Annex. </w:t>
            </w:r>
          </w:p>
        </w:tc>
        <w:tc>
          <w:tcPr>
            <w:tcW w:w="5477" w:type="dxa"/>
            <w:tcBorders>
              <w:bottom w:val="single" w:sz="4" w:space="0" w:color="auto"/>
            </w:tcBorders>
            <w:shd w:val="clear" w:color="auto" w:fill="auto"/>
          </w:tcPr>
          <w:p w14:paraId="5CD496F0" w14:textId="282929B2" w:rsidR="00E25967" w:rsidRPr="00E25967" w:rsidRDefault="000203BC" w:rsidP="00AE7BBE">
            <w:pPr>
              <w:rPr>
                <w:rFonts w:ascii="Arial" w:hAnsi="Arial" w:cs="Arial"/>
                <w:sz w:val="24"/>
                <w:szCs w:val="24"/>
              </w:rPr>
            </w:pPr>
            <w:r w:rsidRPr="00EB44F2">
              <w:rPr>
                <w:rFonts w:ascii="Arial" w:hAnsi="Arial" w:cs="Arial"/>
                <w:b/>
                <w:sz w:val="24"/>
                <w:szCs w:val="24"/>
              </w:rPr>
              <w:t>A</w:t>
            </w:r>
            <w:r w:rsidR="00AE7BBE" w:rsidRPr="00EB44F2">
              <w:rPr>
                <w:rFonts w:ascii="Arial" w:hAnsi="Arial" w:cs="Arial"/>
                <w:b/>
                <w:sz w:val="24"/>
                <w:szCs w:val="24"/>
              </w:rPr>
              <w:t>9</w:t>
            </w:r>
            <w:r>
              <w:rPr>
                <w:rFonts w:ascii="Arial" w:hAnsi="Arial" w:cs="Arial"/>
                <w:sz w:val="24"/>
                <w:szCs w:val="24"/>
              </w:rPr>
              <w:t xml:space="preserve">. </w:t>
            </w:r>
            <w:r w:rsidR="00AE7BBE">
              <w:rPr>
                <w:rFonts w:ascii="Arial" w:hAnsi="Arial" w:cs="Arial"/>
                <w:sz w:val="24"/>
                <w:szCs w:val="24"/>
              </w:rPr>
              <w:t xml:space="preserve">It is now a legal requirement that CCTV is required in slaughterhouses. This is intended to protect the welfare of animals. The FSA believes welfare requirements form part of food law and as such we believe it is appropriate to consider the lack of appropriate CCTV as a serious deficiency. </w:t>
            </w:r>
          </w:p>
        </w:tc>
      </w:tr>
      <w:tr w:rsidR="00E25967" w:rsidRPr="00E25967" w14:paraId="21BC67BF" w14:textId="77777777" w:rsidTr="00E25967">
        <w:tc>
          <w:tcPr>
            <w:tcW w:w="2814" w:type="dxa"/>
            <w:tcBorders>
              <w:top w:val="single" w:sz="4" w:space="0" w:color="auto"/>
              <w:bottom w:val="single" w:sz="4" w:space="0" w:color="auto"/>
            </w:tcBorders>
            <w:shd w:val="clear" w:color="auto" w:fill="auto"/>
          </w:tcPr>
          <w:p w14:paraId="7CD615EC" w14:textId="77777777" w:rsidR="00E25967" w:rsidRPr="00E25967" w:rsidRDefault="00E25967" w:rsidP="003E61EE">
            <w:pPr>
              <w:jc w:val="center"/>
              <w:rPr>
                <w:rFonts w:ascii="Arial" w:hAnsi="Arial" w:cs="Arial"/>
                <w:sz w:val="24"/>
                <w:szCs w:val="24"/>
              </w:rPr>
            </w:pPr>
          </w:p>
        </w:tc>
        <w:tc>
          <w:tcPr>
            <w:tcW w:w="1364" w:type="dxa"/>
            <w:tcBorders>
              <w:top w:val="single" w:sz="4" w:space="0" w:color="auto"/>
              <w:bottom w:val="single" w:sz="4" w:space="0" w:color="auto"/>
            </w:tcBorders>
          </w:tcPr>
          <w:p w14:paraId="3C140B4D" w14:textId="77777777" w:rsidR="00E25967" w:rsidRPr="00E25967" w:rsidRDefault="00E25967" w:rsidP="003E61EE">
            <w:pPr>
              <w:jc w:val="center"/>
              <w:rPr>
                <w:rFonts w:ascii="Arial" w:hAnsi="Arial" w:cs="Arial"/>
                <w:sz w:val="24"/>
                <w:szCs w:val="24"/>
              </w:rPr>
            </w:pPr>
          </w:p>
        </w:tc>
        <w:tc>
          <w:tcPr>
            <w:tcW w:w="4374" w:type="dxa"/>
            <w:tcBorders>
              <w:top w:val="single" w:sz="4" w:space="0" w:color="auto"/>
              <w:bottom w:val="single" w:sz="4" w:space="0" w:color="auto"/>
            </w:tcBorders>
          </w:tcPr>
          <w:p w14:paraId="68025985" w14:textId="12F90EDE" w:rsidR="00E25967" w:rsidRPr="00E25967" w:rsidRDefault="000203BC" w:rsidP="00E25967">
            <w:pPr>
              <w:autoSpaceDE w:val="0"/>
              <w:autoSpaceDN w:val="0"/>
              <w:adjustRightInd w:val="0"/>
              <w:ind w:left="322" w:hanging="322"/>
              <w:jc w:val="both"/>
              <w:rPr>
                <w:rFonts w:ascii="Arial" w:eastAsiaTheme="minorHAnsi" w:hAnsi="Arial" w:cs="Arial"/>
                <w:b/>
                <w:color w:val="000000"/>
                <w:sz w:val="24"/>
                <w:szCs w:val="24"/>
                <w:lang w:eastAsia="en-US"/>
              </w:rPr>
            </w:pPr>
            <w:r w:rsidRPr="00EB44F2">
              <w:rPr>
                <w:rFonts w:ascii="Arial" w:hAnsi="Arial" w:cs="Arial"/>
                <w:b/>
                <w:iCs/>
                <w:sz w:val="24"/>
                <w:szCs w:val="24"/>
              </w:rPr>
              <w:t>A</w:t>
            </w:r>
            <w:r w:rsidR="007E6C40" w:rsidRPr="00EB44F2">
              <w:rPr>
                <w:rFonts w:ascii="Arial" w:hAnsi="Arial" w:cs="Arial"/>
                <w:b/>
                <w:iCs/>
                <w:sz w:val="24"/>
                <w:szCs w:val="24"/>
              </w:rPr>
              <w:t>10</w:t>
            </w:r>
            <w:r w:rsidRPr="00EB44F2">
              <w:rPr>
                <w:rFonts w:ascii="Arial" w:hAnsi="Arial" w:cs="Arial"/>
                <w:b/>
                <w:iCs/>
                <w:sz w:val="24"/>
                <w:szCs w:val="24"/>
              </w:rPr>
              <w:t>.</w:t>
            </w:r>
            <w:r>
              <w:rPr>
                <w:rFonts w:ascii="Arial" w:hAnsi="Arial" w:cs="Arial"/>
                <w:iCs/>
                <w:sz w:val="24"/>
                <w:szCs w:val="24"/>
              </w:rPr>
              <w:t xml:space="preserve"> </w:t>
            </w:r>
            <w:r w:rsidR="00E25967" w:rsidRPr="00E25967">
              <w:rPr>
                <w:rFonts w:ascii="Arial" w:hAnsi="Arial" w:cs="Arial"/>
                <w:iCs/>
                <w:sz w:val="24"/>
                <w:szCs w:val="24"/>
              </w:rPr>
              <w:t>Annex E.  Lack of pest control that does not result in pest infestation is not a serious deficiency and should not be included in the Annex</w:t>
            </w:r>
            <w:r w:rsidR="00E25967" w:rsidRPr="00E25967">
              <w:rPr>
                <w:rFonts w:ascii="Arial" w:hAnsi="Arial" w:cs="Arial"/>
                <w:sz w:val="24"/>
                <w:szCs w:val="24"/>
              </w:rPr>
              <w:t xml:space="preserve">   </w:t>
            </w:r>
          </w:p>
        </w:tc>
        <w:tc>
          <w:tcPr>
            <w:tcW w:w="5477" w:type="dxa"/>
            <w:tcBorders>
              <w:top w:val="single" w:sz="4" w:space="0" w:color="auto"/>
              <w:bottom w:val="single" w:sz="4" w:space="0" w:color="auto"/>
            </w:tcBorders>
          </w:tcPr>
          <w:p w14:paraId="3D312745" w14:textId="2B6CAB65" w:rsidR="00E25967" w:rsidRPr="00E25967" w:rsidRDefault="000203BC" w:rsidP="00297D7E">
            <w:pPr>
              <w:ind w:left="322" w:hanging="322"/>
              <w:rPr>
                <w:rFonts w:ascii="Arial" w:hAnsi="Arial" w:cs="Arial"/>
                <w:sz w:val="24"/>
                <w:szCs w:val="24"/>
              </w:rPr>
            </w:pPr>
            <w:r w:rsidRPr="00EB44F2">
              <w:rPr>
                <w:rFonts w:ascii="Arial" w:hAnsi="Arial" w:cs="Arial"/>
                <w:b/>
                <w:sz w:val="24"/>
                <w:szCs w:val="24"/>
              </w:rPr>
              <w:t>A</w:t>
            </w:r>
            <w:r w:rsidR="00EB44F2" w:rsidRPr="00EB44F2">
              <w:rPr>
                <w:rFonts w:ascii="Arial" w:hAnsi="Arial" w:cs="Arial"/>
                <w:b/>
                <w:sz w:val="24"/>
                <w:szCs w:val="24"/>
              </w:rPr>
              <w:t>10</w:t>
            </w:r>
            <w:r w:rsidRPr="00EB44F2">
              <w:rPr>
                <w:rFonts w:ascii="Arial" w:hAnsi="Arial" w:cs="Arial"/>
                <w:b/>
                <w:sz w:val="24"/>
                <w:szCs w:val="24"/>
              </w:rPr>
              <w:t>.</w:t>
            </w:r>
            <w:r>
              <w:rPr>
                <w:rFonts w:ascii="Arial" w:hAnsi="Arial" w:cs="Arial"/>
                <w:sz w:val="24"/>
                <w:szCs w:val="24"/>
              </w:rPr>
              <w:t xml:space="preserve"> </w:t>
            </w:r>
            <w:r w:rsidR="00AE7BBE">
              <w:rPr>
                <w:rFonts w:ascii="Arial" w:hAnsi="Arial" w:cs="Arial"/>
                <w:sz w:val="24"/>
                <w:szCs w:val="24"/>
              </w:rPr>
              <w:t>If this was a singular issue we acknowledge this would not be a serious deficiency and as such the original wording will remain as it is currently. However, it may be considered a</w:t>
            </w:r>
            <w:r w:rsidR="00EB44F2">
              <w:rPr>
                <w:rFonts w:ascii="Arial" w:hAnsi="Arial" w:cs="Arial"/>
                <w:sz w:val="24"/>
                <w:szCs w:val="24"/>
              </w:rPr>
              <w:t xml:space="preserve">mongst further </w:t>
            </w:r>
            <w:r w:rsidR="00AE7BBE">
              <w:rPr>
                <w:rFonts w:ascii="Arial" w:hAnsi="Arial" w:cs="Arial"/>
                <w:sz w:val="24"/>
                <w:szCs w:val="24"/>
              </w:rPr>
              <w:t>example</w:t>
            </w:r>
            <w:r w:rsidR="00EB44F2">
              <w:rPr>
                <w:rFonts w:ascii="Arial" w:hAnsi="Arial" w:cs="Arial"/>
                <w:sz w:val="24"/>
                <w:szCs w:val="24"/>
              </w:rPr>
              <w:t>s</w:t>
            </w:r>
            <w:r w:rsidR="00AE7BBE">
              <w:rPr>
                <w:rFonts w:ascii="Arial" w:hAnsi="Arial" w:cs="Arial"/>
                <w:sz w:val="24"/>
                <w:szCs w:val="24"/>
              </w:rPr>
              <w:t xml:space="preserve"> </w:t>
            </w:r>
            <w:r w:rsidR="00EB44F2">
              <w:rPr>
                <w:rFonts w:ascii="Arial" w:hAnsi="Arial" w:cs="Arial"/>
                <w:sz w:val="24"/>
                <w:szCs w:val="24"/>
              </w:rPr>
              <w:t xml:space="preserve">indicating a poor management attitude and commitment towards a Food Safety Management System.  </w:t>
            </w:r>
            <w:r w:rsidR="00AE7BBE">
              <w:rPr>
                <w:rFonts w:ascii="Arial" w:hAnsi="Arial" w:cs="Arial"/>
                <w:sz w:val="24"/>
                <w:szCs w:val="24"/>
              </w:rPr>
              <w:t xml:space="preserve"> </w:t>
            </w:r>
          </w:p>
        </w:tc>
      </w:tr>
    </w:tbl>
    <w:p w14:paraId="52E9C9ED" w14:textId="77777777" w:rsidR="00EB40A3" w:rsidRPr="00E25967" w:rsidRDefault="00EB40A3">
      <w:pPr>
        <w:rPr>
          <w:rFonts w:ascii="Arial" w:hAnsi="Arial" w:cs="Arial"/>
          <w:sz w:val="24"/>
          <w:szCs w:val="24"/>
        </w:rPr>
      </w:pPr>
    </w:p>
    <w:p w14:paraId="77563864" w14:textId="5E670851" w:rsidR="00CA4F8C" w:rsidRPr="00E25967" w:rsidRDefault="00CA4F8C">
      <w:pPr>
        <w:spacing w:after="160" w:line="259" w:lineRule="auto"/>
        <w:rPr>
          <w:rFonts w:ascii="Arial" w:hAnsi="Arial" w:cs="Arial"/>
          <w:sz w:val="24"/>
          <w:szCs w:val="24"/>
        </w:rPr>
      </w:pPr>
      <w:r w:rsidRPr="00E25967">
        <w:rPr>
          <w:rFonts w:ascii="Arial" w:hAnsi="Arial" w:cs="Arial"/>
          <w:sz w:val="24"/>
          <w:szCs w:val="24"/>
        </w:rPr>
        <w:br w:type="page"/>
      </w:r>
    </w:p>
    <w:p w14:paraId="2FDA3E18" w14:textId="628CEE71" w:rsidR="0005111A" w:rsidRDefault="0005111A"/>
    <w:tbl>
      <w:tblPr>
        <w:tblStyle w:val="TableGrid"/>
        <w:tblW w:w="13948" w:type="dxa"/>
        <w:tblLook w:val="04A0" w:firstRow="1" w:lastRow="0" w:firstColumn="1" w:lastColumn="0" w:noHBand="0" w:noVBand="1"/>
      </w:tblPr>
      <w:tblGrid>
        <w:gridCol w:w="2813"/>
        <w:gridCol w:w="1364"/>
        <w:gridCol w:w="4367"/>
        <w:gridCol w:w="5404"/>
      </w:tblGrid>
      <w:tr w:rsidR="00481D24" w:rsidRPr="00E25967" w14:paraId="415265A9" w14:textId="77777777" w:rsidTr="00CA4F8C">
        <w:tc>
          <w:tcPr>
            <w:tcW w:w="2830" w:type="dxa"/>
            <w:tcBorders>
              <w:bottom w:val="single" w:sz="4" w:space="0" w:color="auto"/>
            </w:tcBorders>
            <w:shd w:val="clear" w:color="auto" w:fill="BFBFBF" w:themeFill="background1" w:themeFillShade="BF"/>
          </w:tcPr>
          <w:p w14:paraId="2DCD4BAC"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Respondent</w:t>
            </w:r>
          </w:p>
        </w:tc>
        <w:tc>
          <w:tcPr>
            <w:tcW w:w="1276" w:type="dxa"/>
            <w:tcBorders>
              <w:bottom w:val="single" w:sz="4" w:space="0" w:color="auto"/>
            </w:tcBorders>
            <w:shd w:val="clear" w:color="auto" w:fill="BFBFBF" w:themeFill="background1" w:themeFillShade="BF"/>
          </w:tcPr>
          <w:p w14:paraId="37DCD582"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Method of Response</w:t>
            </w:r>
          </w:p>
        </w:tc>
        <w:tc>
          <w:tcPr>
            <w:tcW w:w="4394" w:type="dxa"/>
            <w:shd w:val="clear" w:color="auto" w:fill="BFBFBF" w:themeFill="background1" w:themeFillShade="BF"/>
          </w:tcPr>
          <w:p w14:paraId="2DF7B5C4"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Comment</w:t>
            </w:r>
          </w:p>
        </w:tc>
        <w:tc>
          <w:tcPr>
            <w:tcW w:w="5448" w:type="dxa"/>
            <w:shd w:val="clear" w:color="auto" w:fill="BFBFBF" w:themeFill="background1" w:themeFillShade="BF"/>
          </w:tcPr>
          <w:p w14:paraId="1304FC5E"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Response</w:t>
            </w:r>
          </w:p>
        </w:tc>
      </w:tr>
      <w:tr w:rsidR="003E61EE" w:rsidRPr="00E25967" w14:paraId="5E7D2C69" w14:textId="77777777" w:rsidTr="00CA4F8C">
        <w:tc>
          <w:tcPr>
            <w:tcW w:w="2830" w:type="dxa"/>
            <w:tcBorders>
              <w:bottom w:val="nil"/>
            </w:tcBorders>
          </w:tcPr>
          <w:p w14:paraId="1C60AFAE" w14:textId="77777777" w:rsidR="00D50116" w:rsidRPr="00E25967" w:rsidRDefault="00D50116" w:rsidP="00D50116">
            <w:pPr>
              <w:autoSpaceDE w:val="0"/>
              <w:autoSpaceDN w:val="0"/>
              <w:adjustRightInd w:val="0"/>
              <w:jc w:val="both"/>
              <w:rPr>
                <w:rFonts w:ascii="Arial" w:eastAsiaTheme="minorHAnsi" w:hAnsi="Arial" w:cs="Arial"/>
                <w:color w:val="000000"/>
                <w:sz w:val="24"/>
                <w:szCs w:val="24"/>
                <w:lang w:eastAsia="en-US"/>
              </w:rPr>
            </w:pPr>
            <w:r w:rsidRPr="00E25967">
              <w:rPr>
                <w:rFonts w:ascii="Arial" w:eastAsiaTheme="minorHAnsi" w:hAnsi="Arial" w:cs="Arial"/>
                <w:color w:val="000000"/>
                <w:sz w:val="24"/>
                <w:szCs w:val="24"/>
                <w:lang w:eastAsia="en-US"/>
              </w:rPr>
              <w:t xml:space="preserve">British Meat Processors Association </w:t>
            </w:r>
          </w:p>
          <w:p w14:paraId="5AABE030" w14:textId="31D6232B" w:rsidR="003E61EE" w:rsidRPr="00E25967" w:rsidRDefault="003E61EE" w:rsidP="00D50116">
            <w:pPr>
              <w:jc w:val="both"/>
              <w:rPr>
                <w:rFonts w:ascii="Arial" w:hAnsi="Arial" w:cs="Arial"/>
                <w:sz w:val="24"/>
                <w:szCs w:val="24"/>
              </w:rPr>
            </w:pPr>
          </w:p>
        </w:tc>
        <w:tc>
          <w:tcPr>
            <w:tcW w:w="1276" w:type="dxa"/>
            <w:tcBorders>
              <w:bottom w:val="nil"/>
            </w:tcBorders>
          </w:tcPr>
          <w:p w14:paraId="0EC47159" w14:textId="48CD1BFC" w:rsidR="003E61EE" w:rsidRPr="00E25967" w:rsidRDefault="003E61EE" w:rsidP="003E61EE">
            <w:pPr>
              <w:rPr>
                <w:rFonts w:ascii="Arial" w:hAnsi="Arial" w:cs="Arial"/>
                <w:sz w:val="24"/>
                <w:szCs w:val="24"/>
              </w:rPr>
            </w:pPr>
            <w:r w:rsidRPr="00E25967">
              <w:rPr>
                <w:rFonts w:ascii="Arial" w:hAnsi="Arial" w:cs="Arial"/>
                <w:sz w:val="24"/>
                <w:szCs w:val="24"/>
              </w:rPr>
              <w:t>Email</w:t>
            </w:r>
          </w:p>
        </w:tc>
        <w:tc>
          <w:tcPr>
            <w:tcW w:w="4394" w:type="dxa"/>
            <w:shd w:val="clear" w:color="auto" w:fill="auto"/>
          </w:tcPr>
          <w:p w14:paraId="0E745D92" w14:textId="1C25FC48" w:rsidR="00D50116" w:rsidRPr="00D50116" w:rsidRDefault="00D50116" w:rsidP="00D50116">
            <w:pPr>
              <w:spacing w:before="60" w:after="60" w:line="280" w:lineRule="atLeast"/>
              <w:ind w:left="360"/>
              <w:rPr>
                <w:rFonts w:ascii="Arial" w:hAnsi="Arial" w:cs="Arial"/>
                <w:sz w:val="24"/>
                <w:szCs w:val="24"/>
              </w:rPr>
            </w:pPr>
            <w:r w:rsidRPr="00D50116">
              <w:rPr>
                <w:rFonts w:ascii="Arial" w:hAnsi="Arial" w:cs="Arial"/>
                <w:b/>
                <w:sz w:val="24"/>
                <w:szCs w:val="24"/>
              </w:rPr>
              <w:t>B1</w:t>
            </w:r>
            <w:r w:rsidRPr="00D50116">
              <w:rPr>
                <w:rFonts w:ascii="Arial" w:hAnsi="Arial" w:cs="Arial"/>
                <w:b/>
                <w:i/>
                <w:sz w:val="24"/>
                <w:szCs w:val="24"/>
              </w:rPr>
              <w:t>.</w:t>
            </w:r>
            <w:r>
              <w:rPr>
                <w:rFonts w:ascii="Arial" w:hAnsi="Arial" w:cs="Arial"/>
                <w:i/>
                <w:sz w:val="24"/>
                <w:szCs w:val="24"/>
              </w:rPr>
              <w:t xml:space="preserve"> </w:t>
            </w:r>
            <w:r w:rsidRPr="00D50116">
              <w:rPr>
                <w:rFonts w:ascii="Arial" w:hAnsi="Arial" w:cs="Arial"/>
                <w:i/>
                <w:sz w:val="24"/>
                <w:szCs w:val="24"/>
              </w:rPr>
              <w:t>Paragraph 46 – The FSA is now intending to charge for advisory visits. These visits are not required under regulations but the FSA still wishes to offer these for prospective new businesses seeking support and advice on gaining approval. These visits will be charged on a full cost recovery basis.</w:t>
            </w:r>
            <w:r w:rsidRPr="00D50116">
              <w:rPr>
                <w:rFonts w:ascii="Arial" w:hAnsi="Arial" w:cs="Arial"/>
                <w:sz w:val="24"/>
                <w:szCs w:val="24"/>
              </w:rPr>
              <w:t xml:space="preserve"> </w:t>
            </w:r>
          </w:p>
          <w:p w14:paraId="76903669" w14:textId="213671D3" w:rsidR="00D50116" w:rsidRPr="00D50116" w:rsidRDefault="00D50116" w:rsidP="00D50116">
            <w:pPr>
              <w:spacing w:before="60" w:after="60" w:line="280" w:lineRule="atLeast"/>
              <w:ind w:left="360"/>
              <w:rPr>
                <w:rFonts w:ascii="Arial" w:hAnsi="Arial" w:cs="Arial"/>
                <w:sz w:val="24"/>
                <w:szCs w:val="24"/>
              </w:rPr>
            </w:pPr>
            <w:r w:rsidRPr="00D50116">
              <w:rPr>
                <w:rFonts w:ascii="Arial" w:hAnsi="Arial" w:cs="Arial"/>
                <w:sz w:val="24"/>
                <w:szCs w:val="24"/>
              </w:rPr>
              <w:t>We support the concept, but has the purpose of an “advisory visit” been defined? Are there any guidelines on cost? Is this a commercial agreement in which the FSA is acting as a consultant for the food business and therefore the recommendations are private between the two parties and therefore should not, as a result of data protection, be accessible by the general public as this guidance belongs to the food business?</w:t>
            </w:r>
          </w:p>
          <w:p w14:paraId="213D29FE" w14:textId="2D374892" w:rsidR="003E61EE" w:rsidRPr="00E25967" w:rsidRDefault="003E61EE" w:rsidP="003A53B6">
            <w:pPr>
              <w:rPr>
                <w:rFonts w:ascii="Arial" w:hAnsi="Arial" w:cs="Arial"/>
                <w:sz w:val="24"/>
                <w:szCs w:val="24"/>
              </w:rPr>
            </w:pPr>
          </w:p>
        </w:tc>
        <w:tc>
          <w:tcPr>
            <w:tcW w:w="5448" w:type="dxa"/>
          </w:tcPr>
          <w:p w14:paraId="259EE3DF" w14:textId="7550A81C" w:rsidR="00D50116" w:rsidRDefault="00D50116" w:rsidP="00D50116">
            <w:pPr>
              <w:ind w:left="720"/>
              <w:rPr>
                <w:rFonts w:ascii="Arial" w:hAnsi="Arial" w:cs="Arial"/>
                <w:sz w:val="24"/>
                <w:szCs w:val="24"/>
              </w:rPr>
            </w:pPr>
            <w:r w:rsidRPr="00D50116">
              <w:rPr>
                <w:rFonts w:ascii="Arial" w:hAnsi="Arial" w:cs="Arial"/>
                <w:b/>
                <w:sz w:val="24"/>
                <w:szCs w:val="24"/>
              </w:rPr>
              <w:t>B1.</w:t>
            </w:r>
            <w:r>
              <w:rPr>
                <w:rFonts w:ascii="Arial" w:hAnsi="Arial" w:cs="Arial"/>
                <w:sz w:val="24"/>
                <w:szCs w:val="24"/>
              </w:rPr>
              <w:t xml:space="preserve"> </w:t>
            </w:r>
            <w:r w:rsidRPr="00D50116">
              <w:rPr>
                <w:rFonts w:ascii="Arial" w:hAnsi="Arial" w:cs="Arial"/>
                <w:sz w:val="24"/>
                <w:szCs w:val="24"/>
              </w:rPr>
              <w:t>I</w:t>
            </w:r>
            <w:r>
              <w:rPr>
                <w:rFonts w:ascii="Arial" w:hAnsi="Arial" w:cs="Arial"/>
                <w:sz w:val="24"/>
                <w:szCs w:val="24"/>
              </w:rPr>
              <w:t xml:space="preserve">n order to confirm in more detail what can be expected of these advisory visits and the cost the charging of these visits is intended to be </w:t>
            </w:r>
            <w:r w:rsidRPr="00D50116">
              <w:rPr>
                <w:rFonts w:ascii="Arial" w:hAnsi="Arial" w:cs="Arial"/>
                <w:sz w:val="24"/>
                <w:szCs w:val="24"/>
              </w:rPr>
              <w:t>introduced next year.</w:t>
            </w:r>
          </w:p>
          <w:p w14:paraId="09551AF2" w14:textId="77777777" w:rsidR="00D50116" w:rsidRDefault="00D50116" w:rsidP="00D50116">
            <w:pPr>
              <w:ind w:left="720"/>
              <w:rPr>
                <w:rFonts w:ascii="Arial" w:hAnsi="Arial" w:cs="Arial"/>
                <w:sz w:val="24"/>
                <w:szCs w:val="24"/>
              </w:rPr>
            </w:pPr>
          </w:p>
          <w:p w14:paraId="2F23BF09" w14:textId="4F172D0D" w:rsidR="00D50116" w:rsidRPr="00D50116" w:rsidRDefault="00D50116" w:rsidP="00D50116">
            <w:pPr>
              <w:ind w:left="720"/>
              <w:rPr>
                <w:rFonts w:ascii="Arial" w:hAnsi="Arial" w:cs="Arial"/>
                <w:sz w:val="24"/>
                <w:szCs w:val="24"/>
              </w:rPr>
            </w:pPr>
            <w:r w:rsidRPr="00D50116">
              <w:rPr>
                <w:rFonts w:ascii="Arial" w:hAnsi="Arial" w:cs="Arial"/>
                <w:sz w:val="24"/>
                <w:szCs w:val="24"/>
              </w:rPr>
              <w:t xml:space="preserve">As a public sector organisation, all information we hold is subject to release under Freedom of Information unless it is covered by one of the exemptions. These would be subject to a public interest test. </w:t>
            </w:r>
          </w:p>
          <w:p w14:paraId="4280B3C4" w14:textId="10073EC4" w:rsidR="007A1EB4" w:rsidRPr="00D50116" w:rsidRDefault="007A1EB4" w:rsidP="003A53B6">
            <w:pPr>
              <w:rPr>
                <w:rFonts w:ascii="Arial" w:hAnsi="Arial" w:cs="Arial"/>
                <w:sz w:val="24"/>
                <w:szCs w:val="24"/>
              </w:rPr>
            </w:pPr>
          </w:p>
        </w:tc>
      </w:tr>
      <w:tr w:rsidR="0005111A" w:rsidRPr="00E25967" w14:paraId="02369848" w14:textId="77777777" w:rsidTr="00CA4F8C">
        <w:tc>
          <w:tcPr>
            <w:tcW w:w="2830" w:type="dxa"/>
            <w:tcBorders>
              <w:top w:val="nil"/>
              <w:bottom w:val="nil"/>
            </w:tcBorders>
          </w:tcPr>
          <w:p w14:paraId="7806844A" w14:textId="77777777" w:rsidR="0005111A" w:rsidRPr="00E25967" w:rsidRDefault="0005111A" w:rsidP="00D50116">
            <w:pPr>
              <w:autoSpaceDE w:val="0"/>
              <w:autoSpaceDN w:val="0"/>
              <w:adjustRightInd w:val="0"/>
              <w:jc w:val="both"/>
              <w:rPr>
                <w:rFonts w:ascii="Arial" w:hAnsi="Arial" w:cs="Arial"/>
                <w:sz w:val="24"/>
                <w:szCs w:val="24"/>
              </w:rPr>
            </w:pPr>
          </w:p>
        </w:tc>
        <w:tc>
          <w:tcPr>
            <w:tcW w:w="1276" w:type="dxa"/>
            <w:tcBorders>
              <w:top w:val="nil"/>
              <w:bottom w:val="nil"/>
            </w:tcBorders>
          </w:tcPr>
          <w:p w14:paraId="2D0E0F48" w14:textId="77777777" w:rsidR="0005111A" w:rsidRPr="00E25967" w:rsidRDefault="0005111A" w:rsidP="0005111A">
            <w:pPr>
              <w:rPr>
                <w:rFonts w:ascii="Arial" w:hAnsi="Arial" w:cs="Arial"/>
                <w:sz w:val="24"/>
                <w:szCs w:val="24"/>
              </w:rPr>
            </w:pPr>
          </w:p>
        </w:tc>
        <w:tc>
          <w:tcPr>
            <w:tcW w:w="4394" w:type="dxa"/>
            <w:shd w:val="clear" w:color="auto" w:fill="auto"/>
          </w:tcPr>
          <w:p w14:paraId="509075CA" w14:textId="6750CC0D" w:rsidR="00D50116" w:rsidRPr="00D50116" w:rsidRDefault="000779AC" w:rsidP="00D50116">
            <w:pPr>
              <w:spacing w:before="60" w:after="60" w:line="280" w:lineRule="atLeast"/>
              <w:ind w:left="360"/>
              <w:rPr>
                <w:rFonts w:ascii="Arial" w:hAnsi="Arial" w:cs="Arial"/>
                <w:sz w:val="24"/>
                <w:szCs w:val="24"/>
              </w:rPr>
            </w:pPr>
            <w:r w:rsidRPr="000779AC">
              <w:rPr>
                <w:rFonts w:ascii="Arial" w:hAnsi="Arial" w:cs="Arial"/>
                <w:b/>
                <w:sz w:val="24"/>
                <w:szCs w:val="24"/>
              </w:rPr>
              <w:t>B2.</w:t>
            </w:r>
            <w:r>
              <w:rPr>
                <w:rFonts w:ascii="Arial" w:hAnsi="Arial" w:cs="Arial"/>
                <w:sz w:val="24"/>
                <w:szCs w:val="24"/>
              </w:rPr>
              <w:t xml:space="preserve"> </w:t>
            </w:r>
            <w:r w:rsidR="00D50116" w:rsidRPr="00D50116">
              <w:rPr>
                <w:rFonts w:ascii="Arial" w:hAnsi="Arial" w:cs="Arial"/>
                <w:sz w:val="24"/>
                <w:szCs w:val="24"/>
              </w:rPr>
              <w:t xml:space="preserve">Para 58 – emphasises the need for a food safety management system needing to be in place prior to conditional approval for high risk </w:t>
            </w:r>
            <w:r w:rsidR="00D50116" w:rsidRPr="00D50116">
              <w:rPr>
                <w:rFonts w:ascii="Arial" w:hAnsi="Arial" w:cs="Arial"/>
                <w:sz w:val="24"/>
                <w:szCs w:val="24"/>
              </w:rPr>
              <w:lastRenderedPageBreak/>
              <w:t xml:space="preserve">food items such as minced meat/meat preps intended to be eaten less than thoroughly cooked. </w:t>
            </w:r>
          </w:p>
          <w:p w14:paraId="3C7206B9" w14:textId="6E6C6CA2" w:rsidR="00D50116" w:rsidRPr="00D50116" w:rsidRDefault="00D50116" w:rsidP="00D50116">
            <w:pPr>
              <w:spacing w:before="60" w:after="60" w:line="280" w:lineRule="atLeast"/>
              <w:ind w:left="360"/>
              <w:rPr>
                <w:rFonts w:ascii="Arial" w:hAnsi="Arial" w:cs="Arial"/>
                <w:sz w:val="24"/>
                <w:szCs w:val="24"/>
              </w:rPr>
            </w:pPr>
            <w:r w:rsidRPr="00D50116">
              <w:rPr>
                <w:rFonts w:ascii="Arial" w:hAnsi="Arial" w:cs="Arial"/>
                <w:sz w:val="24"/>
                <w:szCs w:val="24"/>
              </w:rPr>
              <w:t>Does this also cover ready to eat food types – cooked meats, air dried hams, sandwiches, etc?</w:t>
            </w:r>
          </w:p>
          <w:p w14:paraId="0F6D1580" w14:textId="58505F01" w:rsidR="0005111A" w:rsidRPr="00E25967" w:rsidRDefault="0005111A" w:rsidP="00D50116">
            <w:pPr>
              <w:ind w:left="322"/>
              <w:rPr>
                <w:rFonts w:ascii="Arial" w:hAnsi="Arial" w:cs="Arial"/>
                <w:sz w:val="24"/>
                <w:szCs w:val="24"/>
                <w:lang w:val="en-US"/>
              </w:rPr>
            </w:pPr>
          </w:p>
        </w:tc>
        <w:tc>
          <w:tcPr>
            <w:tcW w:w="5448" w:type="dxa"/>
          </w:tcPr>
          <w:p w14:paraId="66DE88E5" w14:textId="045CCB5B" w:rsidR="0005111A" w:rsidRPr="00D50116" w:rsidRDefault="000779AC" w:rsidP="0005111A">
            <w:pPr>
              <w:rPr>
                <w:rFonts w:ascii="Arial" w:hAnsi="Arial" w:cs="Arial"/>
                <w:sz w:val="24"/>
                <w:szCs w:val="24"/>
              </w:rPr>
            </w:pPr>
            <w:r w:rsidRPr="000779AC">
              <w:rPr>
                <w:rFonts w:ascii="Arial" w:hAnsi="Arial" w:cs="Arial"/>
                <w:b/>
                <w:sz w:val="24"/>
                <w:szCs w:val="24"/>
              </w:rPr>
              <w:lastRenderedPageBreak/>
              <w:t>B2</w:t>
            </w:r>
            <w:r>
              <w:rPr>
                <w:rFonts w:ascii="Arial" w:hAnsi="Arial" w:cs="Arial"/>
                <w:sz w:val="24"/>
                <w:szCs w:val="24"/>
              </w:rPr>
              <w:t xml:space="preserve">. </w:t>
            </w:r>
            <w:r w:rsidR="00D50116" w:rsidRPr="00D50116">
              <w:rPr>
                <w:rFonts w:ascii="Arial" w:hAnsi="Arial" w:cs="Arial"/>
                <w:sz w:val="24"/>
                <w:szCs w:val="24"/>
              </w:rPr>
              <w:t>Yes</w:t>
            </w:r>
            <w:r>
              <w:rPr>
                <w:rFonts w:ascii="Arial" w:hAnsi="Arial" w:cs="Arial"/>
                <w:sz w:val="24"/>
                <w:szCs w:val="24"/>
              </w:rPr>
              <w:t xml:space="preserve">, ready to eat meat products is considered to represent a higher risk product.      </w:t>
            </w:r>
          </w:p>
        </w:tc>
      </w:tr>
      <w:tr w:rsidR="0005111A" w:rsidRPr="00E25967" w14:paraId="0BF02792" w14:textId="77777777" w:rsidTr="00CA4F8C">
        <w:tc>
          <w:tcPr>
            <w:tcW w:w="2830" w:type="dxa"/>
            <w:tcBorders>
              <w:top w:val="nil"/>
              <w:bottom w:val="nil"/>
            </w:tcBorders>
          </w:tcPr>
          <w:p w14:paraId="7583DEFB" w14:textId="77777777" w:rsidR="0005111A" w:rsidRPr="00E25967" w:rsidRDefault="0005111A" w:rsidP="0005111A">
            <w:pPr>
              <w:rPr>
                <w:rFonts w:ascii="Arial" w:hAnsi="Arial" w:cs="Arial"/>
                <w:sz w:val="24"/>
                <w:szCs w:val="24"/>
              </w:rPr>
            </w:pPr>
          </w:p>
        </w:tc>
        <w:tc>
          <w:tcPr>
            <w:tcW w:w="1276" w:type="dxa"/>
            <w:tcBorders>
              <w:top w:val="nil"/>
              <w:bottom w:val="nil"/>
            </w:tcBorders>
          </w:tcPr>
          <w:p w14:paraId="5F0E4CAD" w14:textId="77777777" w:rsidR="0005111A" w:rsidRPr="00E25967" w:rsidRDefault="0005111A" w:rsidP="0005111A">
            <w:pPr>
              <w:rPr>
                <w:rFonts w:ascii="Arial" w:hAnsi="Arial" w:cs="Arial"/>
                <w:sz w:val="24"/>
                <w:szCs w:val="24"/>
              </w:rPr>
            </w:pPr>
          </w:p>
        </w:tc>
        <w:tc>
          <w:tcPr>
            <w:tcW w:w="4394" w:type="dxa"/>
            <w:shd w:val="clear" w:color="auto" w:fill="auto"/>
          </w:tcPr>
          <w:p w14:paraId="07742816" w14:textId="789F4423" w:rsidR="000779AC" w:rsidRPr="000779AC" w:rsidRDefault="000779AC" w:rsidP="000779AC">
            <w:pPr>
              <w:spacing w:before="60" w:after="60" w:line="280" w:lineRule="atLeast"/>
              <w:ind w:left="360"/>
              <w:rPr>
                <w:rFonts w:ascii="Arial" w:hAnsi="Arial" w:cs="Arial"/>
                <w:sz w:val="24"/>
                <w:szCs w:val="24"/>
              </w:rPr>
            </w:pPr>
            <w:r w:rsidRPr="000779AC">
              <w:rPr>
                <w:rFonts w:ascii="Arial" w:hAnsi="Arial" w:cs="Arial"/>
                <w:b/>
                <w:sz w:val="24"/>
                <w:szCs w:val="24"/>
              </w:rPr>
              <w:t>B3.</w:t>
            </w:r>
            <w:r>
              <w:rPr>
                <w:rFonts w:ascii="Arial" w:hAnsi="Arial" w:cs="Arial"/>
                <w:sz w:val="24"/>
                <w:szCs w:val="24"/>
              </w:rPr>
              <w:t xml:space="preserve"> </w:t>
            </w:r>
            <w:r w:rsidRPr="000779AC">
              <w:rPr>
                <w:rFonts w:ascii="Arial" w:hAnsi="Arial" w:cs="Arial"/>
                <w:sz w:val="24"/>
                <w:szCs w:val="24"/>
              </w:rPr>
              <w:t>Para 86 – provides conformation that approval numbers can be re-used for a new approval. This allows FBOs to retain their previous approval number in certain circumstances such as when they move to new premises. This allows an existing food business moving to new premises to continue to use its existing approval number - what would happen if both sites continued to run for a period of time?</w:t>
            </w:r>
          </w:p>
          <w:p w14:paraId="0E329136" w14:textId="4B8B6E1E" w:rsidR="000779AC" w:rsidRPr="000779AC" w:rsidRDefault="000779AC" w:rsidP="000779AC">
            <w:pPr>
              <w:ind w:left="720"/>
              <w:rPr>
                <w:rFonts w:ascii="Arial" w:eastAsiaTheme="minorHAnsi" w:hAnsi="Arial" w:cs="Arial"/>
                <w:sz w:val="24"/>
                <w:szCs w:val="24"/>
              </w:rPr>
            </w:pPr>
            <w:r w:rsidRPr="000779AC">
              <w:rPr>
                <w:rFonts w:ascii="Arial" w:hAnsi="Arial" w:cs="Arial"/>
                <w:sz w:val="24"/>
                <w:szCs w:val="24"/>
              </w:rPr>
              <w:t xml:space="preserve"> </w:t>
            </w:r>
          </w:p>
          <w:p w14:paraId="42A06EAD" w14:textId="77777777" w:rsidR="0005111A" w:rsidRPr="000779AC" w:rsidRDefault="0005111A" w:rsidP="0005111A">
            <w:pPr>
              <w:pStyle w:val="Default"/>
              <w:rPr>
                <w:color w:val="auto"/>
                <w:lang w:val="en-US"/>
              </w:rPr>
            </w:pPr>
          </w:p>
        </w:tc>
        <w:tc>
          <w:tcPr>
            <w:tcW w:w="5448" w:type="dxa"/>
          </w:tcPr>
          <w:p w14:paraId="1FC2B6EB" w14:textId="117B8AE0" w:rsidR="0005111A" w:rsidRPr="000779AC" w:rsidRDefault="000779AC" w:rsidP="0005111A">
            <w:pPr>
              <w:rPr>
                <w:rFonts w:ascii="Arial" w:hAnsi="Arial" w:cs="Arial"/>
                <w:sz w:val="24"/>
                <w:szCs w:val="24"/>
              </w:rPr>
            </w:pPr>
            <w:r w:rsidRPr="000779AC">
              <w:rPr>
                <w:rFonts w:ascii="Arial" w:hAnsi="Arial" w:cs="Arial"/>
                <w:b/>
                <w:sz w:val="24"/>
                <w:szCs w:val="24"/>
              </w:rPr>
              <w:t>B3</w:t>
            </w:r>
            <w:r>
              <w:rPr>
                <w:rFonts w:ascii="Arial" w:hAnsi="Arial" w:cs="Arial"/>
                <w:sz w:val="24"/>
                <w:szCs w:val="24"/>
              </w:rPr>
              <w:t xml:space="preserve">. </w:t>
            </w:r>
            <w:r w:rsidRPr="000779AC">
              <w:rPr>
                <w:rFonts w:ascii="Arial" w:hAnsi="Arial" w:cs="Arial"/>
                <w:sz w:val="24"/>
                <w:szCs w:val="24"/>
              </w:rPr>
              <w:t>This policy is already in effect on an operational basis. We are introducing it formally into the published policy to aide transparency. The issue arose when a FBO moved premises and had their approval number on all their packaging and fleet of vehicles. The principal we are keen to maintain is that an approval number is unique to one establishment at any one time. This means we are content for a FBO to retain the approval number when moving premises but it cannot be allowed to span two premises at any one time</w:t>
            </w:r>
          </w:p>
        </w:tc>
      </w:tr>
      <w:tr w:rsidR="0005111A" w:rsidRPr="00E25967" w14:paraId="4C5E7039" w14:textId="77777777" w:rsidTr="00CA4F8C">
        <w:tc>
          <w:tcPr>
            <w:tcW w:w="2830" w:type="dxa"/>
            <w:tcBorders>
              <w:top w:val="nil"/>
            </w:tcBorders>
          </w:tcPr>
          <w:p w14:paraId="7103F5FD" w14:textId="77777777" w:rsidR="0005111A" w:rsidRPr="00E25967" w:rsidRDefault="0005111A" w:rsidP="0005111A">
            <w:pPr>
              <w:rPr>
                <w:rFonts w:ascii="Arial" w:hAnsi="Arial" w:cs="Arial"/>
                <w:sz w:val="24"/>
                <w:szCs w:val="24"/>
              </w:rPr>
            </w:pPr>
          </w:p>
        </w:tc>
        <w:tc>
          <w:tcPr>
            <w:tcW w:w="1276" w:type="dxa"/>
            <w:tcBorders>
              <w:top w:val="nil"/>
            </w:tcBorders>
          </w:tcPr>
          <w:p w14:paraId="4000CDF7" w14:textId="77777777" w:rsidR="0005111A" w:rsidRPr="00E25967" w:rsidRDefault="0005111A" w:rsidP="0005111A">
            <w:pPr>
              <w:rPr>
                <w:rFonts w:ascii="Arial" w:hAnsi="Arial" w:cs="Arial"/>
                <w:sz w:val="24"/>
                <w:szCs w:val="24"/>
              </w:rPr>
            </w:pPr>
          </w:p>
        </w:tc>
        <w:tc>
          <w:tcPr>
            <w:tcW w:w="4394" w:type="dxa"/>
            <w:shd w:val="clear" w:color="auto" w:fill="auto"/>
          </w:tcPr>
          <w:p w14:paraId="79EA5BA9" w14:textId="7C235266" w:rsidR="0005111A" w:rsidRPr="000779AC" w:rsidRDefault="005747B0" w:rsidP="0005111A">
            <w:pPr>
              <w:pStyle w:val="Default"/>
              <w:rPr>
                <w:color w:val="auto"/>
                <w:lang w:val="en-US"/>
              </w:rPr>
            </w:pPr>
            <w:r w:rsidRPr="005747B0">
              <w:rPr>
                <w:b/>
                <w:color w:val="auto"/>
              </w:rPr>
              <w:t>B4.</w:t>
            </w:r>
            <w:r>
              <w:rPr>
                <w:color w:val="auto"/>
              </w:rPr>
              <w:t xml:space="preserve"> </w:t>
            </w:r>
            <w:r w:rsidR="000779AC" w:rsidRPr="000779AC">
              <w:rPr>
                <w:color w:val="auto"/>
              </w:rPr>
              <w:t>There are discussions taking place about giving the FSA access to other third-party food safety audits carried out at the manufacturing site – was this considered?</w:t>
            </w:r>
          </w:p>
        </w:tc>
        <w:tc>
          <w:tcPr>
            <w:tcW w:w="5448" w:type="dxa"/>
          </w:tcPr>
          <w:p w14:paraId="589999E3" w14:textId="39AA5764" w:rsidR="000779AC" w:rsidRDefault="005747B0" w:rsidP="000779AC">
            <w:pPr>
              <w:rPr>
                <w:rFonts w:ascii="Arial" w:hAnsi="Arial" w:cs="Arial"/>
                <w:sz w:val="24"/>
                <w:szCs w:val="24"/>
              </w:rPr>
            </w:pPr>
            <w:r w:rsidRPr="005747B0">
              <w:rPr>
                <w:rFonts w:ascii="Arial" w:hAnsi="Arial" w:cs="Arial"/>
                <w:b/>
                <w:sz w:val="24"/>
                <w:szCs w:val="24"/>
              </w:rPr>
              <w:t>B4.</w:t>
            </w:r>
            <w:r>
              <w:rPr>
                <w:rFonts w:ascii="Arial" w:hAnsi="Arial" w:cs="Arial"/>
                <w:sz w:val="24"/>
                <w:szCs w:val="24"/>
              </w:rPr>
              <w:t xml:space="preserve"> </w:t>
            </w:r>
            <w:r w:rsidR="000779AC" w:rsidRPr="000779AC">
              <w:rPr>
                <w:rFonts w:ascii="Arial" w:hAnsi="Arial" w:cs="Arial"/>
                <w:sz w:val="24"/>
                <w:szCs w:val="24"/>
              </w:rPr>
              <w:t xml:space="preserve">This is being considered as part of the review of cutting plants and cold stores. Eventually this may result in </w:t>
            </w:r>
            <w:r w:rsidR="000779AC">
              <w:rPr>
                <w:rFonts w:ascii="Arial" w:hAnsi="Arial" w:cs="Arial"/>
                <w:sz w:val="24"/>
                <w:szCs w:val="24"/>
              </w:rPr>
              <w:t xml:space="preserve">changes </w:t>
            </w:r>
            <w:r w:rsidR="000779AC" w:rsidRPr="000779AC">
              <w:rPr>
                <w:rFonts w:ascii="Arial" w:hAnsi="Arial" w:cs="Arial"/>
                <w:sz w:val="24"/>
                <w:szCs w:val="24"/>
              </w:rPr>
              <w:t>being introduced into the policy document</w:t>
            </w:r>
            <w:r w:rsidR="000779AC">
              <w:rPr>
                <w:rFonts w:ascii="Arial" w:hAnsi="Arial" w:cs="Arial"/>
                <w:sz w:val="24"/>
                <w:szCs w:val="24"/>
              </w:rPr>
              <w:t xml:space="preserve"> but </w:t>
            </w:r>
            <w:r>
              <w:rPr>
                <w:rFonts w:ascii="Arial" w:hAnsi="Arial" w:cs="Arial"/>
                <w:sz w:val="24"/>
                <w:szCs w:val="24"/>
              </w:rPr>
              <w:t xml:space="preserve">it is too soon to introduce such changes into this revision. </w:t>
            </w:r>
            <w:r w:rsidR="000779AC">
              <w:rPr>
                <w:rFonts w:ascii="Arial" w:hAnsi="Arial" w:cs="Arial"/>
                <w:sz w:val="24"/>
                <w:szCs w:val="24"/>
              </w:rPr>
              <w:t xml:space="preserve"> </w:t>
            </w:r>
          </w:p>
          <w:p w14:paraId="56E76B06" w14:textId="07019AE7" w:rsidR="00FE3F59" w:rsidRDefault="00FE3F59" w:rsidP="000779AC">
            <w:pPr>
              <w:rPr>
                <w:rFonts w:ascii="Arial" w:hAnsi="Arial" w:cs="Arial"/>
                <w:sz w:val="24"/>
                <w:szCs w:val="24"/>
              </w:rPr>
            </w:pPr>
          </w:p>
          <w:p w14:paraId="6D9D27E1" w14:textId="77777777" w:rsidR="0007378F" w:rsidRPr="000779AC" w:rsidRDefault="00FE3F59" w:rsidP="000779AC">
            <w:pPr>
              <w:rPr>
                <w:rFonts w:ascii="Arial" w:hAnsi="Arial" w:cs="Arial"/>
                <w:sz w:val="24"/>
                <w:szCs w:val="24"/>
              </w:rPr>
            </w:pPr>
            <w:r>
              <w:rPr>
                <w:rFonts w:ascii="Arial" w:hAnsi="Arial" w:cs="Arial"/>
                <w:sz w:val="24"/>
                <w:szCs w:val="24"/>
              </w:rPr>
              <w:lastRenderedPageBreak/>
              <w:t xml:space="preserve">Recommendation no. 8 Of the </w:t>
            </w:r>
            <w:r w:rsidR="0007378F">
              <w:rPr>
                <w:rFonts w:ascii="Arial" w:hAnsi="Arial" w:cs="Arial"/>
                <w:sz w:val="24"/>
                <w:szCs w:val="24"/>
              </w:rPr>
              <w:t xml:space="preserve">Cutting Plant and Cold Store review is; </w:t>
            </w:r>
          </w:p>
          <w:p w14:paraId="2ECB67EB" w14:textId="4F704D97" w:rsidR="0005111A" w:rsidRPr="000779AC" w:rsidRDefault="0007378F" w:rsidP="0007378F">
            <w:pPr>
              <w:pStyle w:val="Default"/>
            </w:pPr>
            <w:r w:rsidRPr="0007378F">
              <w:rPr>
                <w:i/>
                <w:iCs/>
              </w:rPr>
              <w:t xml:space="preserve">Test the value in mapping the British Retail Consortium (BRC) Directory open information to the Agencies’ data on establishments and of the Agencies’ officials making use of information in BRC Global Standards (GS) audit reports to inform official controls at cutting plants </w:t>
            </w:r>
          </w:p>
        </w:tc>
      </w:tr>
    </w:tbl>
    <w:p w14:paraId="03FBA43D" w14:textId="77777777" w:rsidR="001A75FC" w:rsidRPr="00E25967" w:rsidRDefault="001A75FC">
      <w:pPr>
        <w:rPr>
          <w:rFonts w:ascii="Arial" w:hAnsi="Arial" w:cs="Arial"/>
          <w:sz w:val="24"/>
          <w:szCs w:val="24"/>
        </w:rPr>
      </w:pPr>
    </w:p>
    <w:p w14:paraId="73670C3D" w14:textId="77777777" w:rsidR="001A75FC" w:rsidRPr="00E25967" w:rsidRDefault="001A75FC">
      <w:pPr>
        <w:rPr>
          <w:rFonts w:ascii="Arial" w:hAnsi="Arial" w:cs="Arial"/>
          <w:sz w:val="24"/>
          <w:szCs w:val="24"/>
        </w:rPr>
      </w:pPr>
    </w:p>
    <w:p w14:paraId="5EC0E76D" w14:textId="30D912FC" w:rsidR="001A75FC" w:rsidRPr="00E25967" w:rsidRDefault="001A75FC">
      <w:pPr>
        <w:rPr>
          <w:rFonts w:ascii="Arial" w:hAnsi="Arial" w:cs="Arial"/>
          <w:sz w:val="24"/>
          <w:szCs w:val="24"/>
        </w:rPr>
      </w:pPr>
    </w:p>
    <w:p w14:paraId="75C61189" w14:textId="22142F60" w:rsidR="00481D24" w:rsidRPr="00E25967" w:rsidRDefault="00481D24">
      <w:pPr>
        <w:rPr>
          <w:rFonts w:ascii="Arial" w:hAnsi="Arial" w:cs="Arial"/>
          <w:sz w:val="24"/>
          <w:szCs w:val="24"/>
        </w:rPr>
      </w:pPr>
    </w:p>
    <w:tbl>
      <w:tblPr>
        <w:tblStyle w:val="TableGrid"/>
        <w:tblW w:w="13948" w:type="dxa"/>
        <w:tblLook w:val="04A0" w:firstRow="1" w:lastRow="0" w:firstColumn="1" w:lastColumn="0" w:noHBand="0" w:noVBand="1"/>
      </w:tblPr>
      <w:tblGrid>
        <w:gridCol w:w="2816"/>
        <w:gridCol w:w="1364"/>
        <w:gridCol w:w="4365"/>
        <w:gridCol w:w="5403"/>
      </w:tblGrid>
      <w:tr w:rsidR="00481D24" w:rsidRPr="00E25967" w14:paraId="42F81544" w14:textId="77777777" w:rsidTr="005747B0">
        <w:tc>
          <w:tcPr>
            <w:tcW w:w="2816" w:type="dxa"/>
            <w:tcBorders>
              <w:bottom w:val="single" w:sz="4" w:space="0" w:color="auto"/>
            </w:tcBorders>
            <w:shd w:val="clear" w:color="auto" w:fill="BFBFBF" w:themeFill="background1" w:themeFillShade="BF"/>
          </w:tcPr>
          <w:p w14:paraId="33007086"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Respondent</w:t>
            </w:r>
          </w:p>
        </w:tc>
        <w:tc>
          <w:tcPr>
            <w:tcW w:w="1364" w:type="dxa"/>
            <w:tcBorders>
              <w:bottom w:val="single" w:sz="4" w:space="0" w:color="auto"/>
            </w:tcBorders>
            <w:shd w:val="clear" w:color="auto" w:fill="BFBFBF" w:themeFill="background1" w:themeFillShade="BF"/>
          </w:tcPr>
          <w:p w14:paraId="32E99022"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Method of Response</w:t>
            </w:r>
          </w:p>
        </w:tc>
        <w:tc>
          <w:tcPr>
            <w:tcW w:w="4365" w:type="dxa"/>
            <w:shd w:val="clear" w:color="auto" w:fill="BFBFBF" w:themeFill="background1" w:themeFillShade="BF"/>
          </w:tcPr>
          <w:p w14:paraId="454B3ED2"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Comment</w:t>
            </w:r>
          </w:p>
        </w:tc>
        <w:tc>
          <w:tcPr>
            <w:tcW w:w="5403" w:type="dxa"/>
            <w:shd w:val="clear" w:color="auto" w:fill="BFBFBF" w:themeFill="background1" w:themeFillShade="BF"/>
          </w:tcPr>
          <w:p w14:paraId="72B5C94A" w14:textId="77777777" w:rsidR="00481D24" w:rsidRPr="00E25967" w:rsidRDefault="00481D24" w:rsidP="00481D24">
            <w:pPr>
              <w:jc w:val="center"/>
              <w:rPr>
                <w:rFonts w:ascii="Arial" w:hAnsi="Arial" w:cs="Arial"/>
                <w:b/>
                <w:sz w:val="24"/>
                <w:szCs w:val="24"/>
              </w:rPr>
            </w:pPr>
            <w:r w:rsidRPr="00E25967">
              <w:rPr>
                <w:rFonts w:ascii="Arial" w:hAnsi="Arial" w:cs="Arial"/>
                <w:b/>
                <w:sz w:val="24"/>
                <w:szCs w:val="24"/>
              </w:rPr>
              <w:t>Response</w:t>
            </w:r>
          </w:p>
        </w:tc>
      </w:tr>
      <w:tr w:rsidR="009E529C" w:rsidRPr="00E25967" w14:paraId="43D8034F" w14:textId="77777777" w:rsidTr="005747B0">
        <w:tc>
          <w:tcPr>
            <w:tcW w:w="2816" w:type="dxa"/>
            <w:tcBorders>
              <w:bottom w:val="nil"/>
            </w:tcBorders>
          </w:tcPr>
          <w:p w14:paraId="7B028D5B" w14:textId="5732DEBF" w:rsidR="009E529C" w:rsidRPr="00E25967" w:rsidRDefault="00710981" w:rsidP="009E529C">
            <w:pPr>
              <w:rPr>
                <w:rFonts w:ascii="Arial" w:hAnsi="Arial" w:cs="Arial"/>
                <w:sz w:val="24"/>
                <w:szCs w:val="24"/>
              </w:rPr>
            </w:pPr>
            <w:r w:rsidRPr="00E25967">
              <w:rPr>
                <w:rFonts w:ascii="Arial" w:hAnsi="Arial" w:cs="Arial"/>
                <w:sz w:val="24"/>
                <w:szCs w:val="24"/>
              </w:rPr>
              <w:t>Wales Food Safety Expert Panel</w:t>
            </w:r>
          </w:p>
        </w:tc>
        <w:tc>
          <w:tcPr>
            <w:tcW w:w="1364" w:type="dxa"/>
            <w:tcBorders>
              <w:bottom w:val="nil"/>
            </w:tcBorders>
          </w:tcPr>
          <w:p w14:paraId="2BF5E794" w14:textId="397B5283" w:rsidR="009E529C" w:rsidRPr="00E25967" w:rsidRDefault="009E529C" w:rsidP="009E529C">
            <w:pPr>
              <w:rPr>
                <w:rFonts w:ascii="Arial" w:hAnsi="Arial" w:cs="Arial"/>
                <w:sz w:val="24"/>
                <w:szCs w:val="24"/>
              </w:rPr>
            </w:pPr>
            <w:r w:rsidRPr="00E25967">
              <w:rPr>
                <w:rFonts w:ascii="Arial" w:hAnsi="Arial" w:cs="Arial"/>
                <w:sz w:val="24"/>
                <w:szCs w:val="24"/>
              </w:rPr>
              <w:t>Email</w:t>
            </w:r>
          </w:p>
        </w:tc>
        <w:tc>
          <w:tcPr>
            <w:tcW w:w="4365" w:type="dxa"/>
          </w:tcPr>
          <w:p w14:paraId="13C1D4A3" w14:textId="6D2E88DB" w:rsidR="009E529C" w:rsidRPr="00E25967" w:rsidRDefault="00033F05" w:rsidP="005747B0">
            <w:pPr>
              <w:pStyle w:val="ListParagraph"/>
              <w:spacing w:after="0"/>
              <w:ind w:left="323" w:hanging="323"/>
              <w:rPr>
                <w:szCs w:val="24"/>
              </w:rPr>
            </w:pPr>
            <w:r w:rsidRPr="00033F05">
              <w:rPr>
                <w:rFonts w:eastAsiaTheme="minorHAnsi"/>
                <w:b/>
                <w:color w:val="000000"/>
                <w:szCs w:val="24"/>
              </w:rPr>
              <w:t>C1.</w:t>
            </w:r>
            <w:r>
              <w:rPr>
                <w:rFonts w:eastAsiaTheme="minorHAnsi"/>
                <w:color w:val="000000"/>
                <w:szCs w:val="24"/>
              </w:rPr>
              <w:t xml:space="preserve"> </w:t>
            </w:r>
            <w:r w:rsidR="005747B0">
              <w:rPr>
                <w:rFonts w:eastAsiaTheme="minorHAnsi"/>
                <w:color w:val="000000"/>
                <w:szCs w:val="24"/>
              </w:rPr>
              <w:t xml:space="preserve"> </w:t>
            </w:r>
            <w:r w:rsidR="005747B0" w:rsidRPr="005747B0">
              <w:rPr>
                <w:rFonts w:eastAsiaTheme="minorHAnsi"/>
                <w:color w:val="000000"/>
                <w:sz w:val="23"/>
                <w:szCs w:val="23"/>
              </w:rPr>
              <w:t>The document appears to be a combination of operational guidance and policy. We assume that there is a guidance document for FSA Ops staff as there is for LAs. In order to facilitate a consistent approach for food businesses there should be one set of guidance for the approval process.</w:t>
            </w:r>
          </w:p>
        </w:tc>
        <w:tc>
          <w:tcPr>
            <w:tcW w:w="5403" w:type="dxa"/>
          </w:tcPr>
          <w:p w14:paraId="413B15F4" w14:textId="76A23376" w:rsidR="00033F05" w:rsidRDefault="00033F05" w:rsidP="009E529C">
            <w:pPr>
              <w:rPr>
                <w:rFonts w:ascii="Arial" w:hAnsi="Arial" w:cs="Arial"/>
                <w:sz w:val="24"/>
                <w:szCs w:val="24"/>
              </w:rPr>
            </w:pPr>
            <w:r w:rsidRPr="00033F05">
              <w:rPr>
                <w:rFonts w:ascii="Arial" w:hAnsi="Arial" w:cs="Arial"/>
                <w:b/>
                <w:sz w:val="24"/>
                <w:szCs w:val="24"/>
              </w:rPr>
              <w:t>C1.</w:t>
            </w:r>
            <w:r>
              <w:rPr>
                <w:rFonts w:ascii="Arial" w:hAnsi="Arial" w:cs="Arial"/>
                <w:b/>
                <w:sz w:val="24"/>
                <w:szCs w:val="24"/>
              </w:rPr>
              <w:t xml:space="preserve"> </w:t>
            </w:r>
            <w:r w:rsidRPr="00033F05">
              <w:rPr>
                <w:rFonts w:ascii="Arial" w:hAnsi="Arial" w:cs="Arial"/>
                <w:sz w:val="24"/>
                <w:szCs w:val="24"/>
              </w:rPr>
              <w:t>The document is an operational policy document so by its nature is used by both FSA Operational staff and food business operators for reference.</w:t>
            </w:r>
            <w:r w:rsidRPr="00033F05">
              <w:rPr>
                <w:rFonts w:ascii="Arial" w:hAnsi="Arial" w:cs="Arial"/>
                <w:b/>
                <w:sz w:val="24"/>
                <w:szCs w:val="24"/>
              </w:rPr>
              <w:t xml:space="preserve"> </w:t>
            </w:r>
            <w:r w:rsidRPr="00033F05">
              <w:rPr>
                <w:rFonts w:ascii="Arial" w:hAnsi="Arial" w:cs="Arial"/>
                <w:sz w:val="24"/>
                <w:szCs w:val="24"/>
              </w:rPr>
              <w:t>The document represents a high</w:t>
            </w:r>
            <w:r>
              <w:rPr>
                <w:rFonts w:ascii="Arial" w:hAnsi="Arial" w:cs="Arial"/>
                <w:sz w:val="24"/>
                <w:szCs w:val="24"/>
              </w:rPr>
              <w:t xml:space="preserve"> </w:t>
            </w:r>
            <w:r w:rsidRPr="00033F05">
              <w:rPr>
                <w:rFonts w:ascii="Arial" w:hAnsi="Arial" w:cs="Arial"/>
                <w:sz w:val="24"/>
                <w:szCs w:val="24"/>
              </w:rPr>
              <w:t>level view</w:t>
            </w:r>
            <w:r>
              <w:rPr>
                <w:rFonts w:ascii="Arial" w:hAnsi="Arial" w:cs="Arial"/>
                <w:b/>
                <w:sz w:val="24"/>
                <w:szCs w:val="24"/>
              </w:rPr>
              <w:t xml:space="preserve"> </w:t>
            </w:r>
            <w:r w:rsidRPr="00033F05">
              <w:rPr>
                <w:rFonts w:ascii="Arial" w:hAnsi="Arial" w:cs="Arial"/>
                <w:sz w:val="24"/>
                <w:szCs w:val="24"/>
              </w:rPr>
              <w:t xml:space="preserve">of the processes which are </w:t>
            </w:r>
            <w:r>
              <w:rPr>
                <w:rFonts w:ascii="Arial" w:hAnsi="Arial" w:cs="Arial"/>
                <w:sz w:val="24"/>
                <w:szCs w:val="24"/>
              </w:rPr>
              <w:t xml:space="preserve">to be </w:t>
            </w:r>
            <w:r w:rsidRPr="00033F05">
              <w:rPr>
                <w:rFonts w:ascii="Arial" w:hAnsi="Arial" w:cs="Arial"/>
                <w:sz w:val="24"/>
                <w:szCs w:val="24"/>
              </w:rPr>
              <w:t>followed.</w:t>
            </w:r>
            <w:r>
              <w:rPr>
                <w:rFonts w:ascii="Arial" w:hAnsi="Arial" w:cs="Arial"/>
                <w:sz w:val="24"/>
                <w:szCs w:val="24"/>
              </w:rPr>
              <w:t xml:space="preserve">  </w:t>
            </w:r>
          </w:p>
          <w:p w14:paraId="5068D9BD" w14:textId="77777777" w:rsidR="00033F05" w:rsidRDefault="00033F05" w:rsidP="009E529C">
            <w:pPr>
              <w:rPr>
                <w:rFonts w:ascii="Arial" w:hAnsi="Arial" w:cs="Arial"/>
                <w:sz w:val="24"/>
                <w:szCs w:val="24"/>
              </w:rPr>
            </w:pPr>
          </w:p>
          <w:p w14:paraId="0E0729B7" w14:textId="12C5FC33" w:rsidR="000543C9" w:rsidRPr="00033F05" w:rsidRDefault="00033F05" w:rsidP="009E529C">
            <w:pPr>
              <w:rPr>
                <w:rFonts w:ascii="Arial" w:hAnsi="Arial" w:cs="Arial"/>
                <w:b/>
                <w:sz w:val="24"/>
                <w:szCs w:val="24"/>
              </w:rPr>
            </w:pPr>
            <w:r>
              <w:rPr>
                <w:rFonts w:ascii="Arial" w:hAnsi="Arial" w:cs="Arial"/>
                <w:b/>
                <w:sz w:val="24"/>
                <w:szCs w:val="24"/>
              </w:rPr>
              <w:t xml:space="preserve">  </w:t>
            </w:r>
          </w:p>
        </w:tc>
      </w:tr>
      <w:tr w:rsidR="000F3D99" w:rsidRPr="00E25967" w14:paraId="32DAA696" w14:textId="77777777" w:rsidTr="005747B0">
        <w:tc>
          <w:tcPr>
            <w:tcW w:w="2816" w:type="dxa"/>
            <w:tcBorders>
              <w:top w:val="nil"/>
              <w:bottom w:val="nil"/>
            </w:tcBorders>
          </w:tcPr>
          <w:p w14:paraId="5F6E766D" w14:textId="77777777" w:rsidR="000F3D99" w:rsidRPr="00E25967" w:rsidRDefault="000F3D99" w:rsidP="009E529C">
            <w:pPr>
              <w:rPr>
                <w:rFonts w:ascii="Arial" w:hAnsi="Arial" w:cs="Arial"/>
                <w:sz w:val="24"/>
                <w:szCs w:val="24"/>
              </w:rPr>
            </w:pPr>
          </w:p>
        </w:tc>
        <w:tc>
          <w:tcPr>
            <w:tcW w:w="1364" w:type="dxa"/>
            <w:tcBorders>
              <w:top w:val="nil"/>
              <w:bottom w:val="nil"/>
            </w:tcBorders>
          </w:tcPr>
          <w:p w14:paraId="2BC22DE2" w14:textId="77777777" w:rsidR="000F3D99" w:rsidRPr="00E25967" w:rsidRDefault="000F3D99" w:rsidP="009E529C">
            <w:pPr>
              <w:rPr>
                <w:rFonts w:ascii="Arial" w:hAnsi="Arial" w:cs="Arial"/>
                <w:sz w:val="24"/>
                <w:szCs w:val="24"/>
              </w:rPr>
            </w:pPr>
          </w:p>
        </w:tc>
        <w:tc>
          <w:tcPr>
            <w:tcW w:w="4365" w:type="dxa"/>
          </w:tcPr>
          <w:p w14:paraId="2AAA1C29" w14:textId="4C48CF59"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sidRPr="00033F05">
              <w:rPr>
                <w:rFonts w:ascii="Arial" w:eastAsiaTheme="minorHAnsi" w:hAnsi="Arial" w:cs="Arial"/>
                <w:b/>
                <w:color w:val="000000"/>
                <w:sz w:val="24"/>
                <w:szCs w:val="24"/>
                <w:lang w:eastAsia="en-US"/>
              </w:rPr>
              <w:t>C2</w:t>
            </w:r>
            <w:r>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 xml:space="preserve"> </w:t>
            </w:r>
            <w:r w:rsidR="005747B0" w:rsidRPr="005747B0">
              <w:rPr>
                <w:rFonts w:ascii="Arial" w:eastAsiaTheme="minorHAnsi" w:hAnsi="Arial" w:cs="Arial"/>
                <w:b/>
                <w:bCs/>
                <w:color w:val="000000"/>
                <w:sz w:val="23"/>
                <w:szCs w:val="23"/>
                <w:lang w:eastAsia="en-US"/>
              </w:rPr>
              <w:t xml:space="preserve">Page 6 point 13 </w:t>
            </w:r>
          </w:p>
          <w:p w14:paraId="5366FB5C" w14:textId="4F6E4D0C" w:rsidR="000F3D99" w:rsidRPr="00E25967" w:rsidRDefault="005747B0" w:rsidP="005747B0">
            <w:pPr>
              <w:ind w:left="323" w:hanging="323"/>
              <w:rPr>
                <w:rFonts w:ascii="Arial" w:hAnsi="Arial" w:cs="Arial"/>
                <w:sz w:val="24"/>
                <w:szCs w:val="24"/>
              </w:rPr>
            </w:pPr>
            <w:r>
              <w:rPr>
                <w:rFonts w:ascii="Arial" w:eastAsiaTheme="minorHAnsi" w:hAnsi="Arial" w:cs="Arial"/>
                <w:color w:val="000000"/>
                <w:sz w:val="23"/>
                <w:szCs w:val="23"/>
                <w:lang w:eastAsia="en-US"/>
              </w:rPr>
              <w:t xml:space="preserve">  </w:t>
            </w:r>
            <w:r w:rsidRPr="005747B0">
              <w:rPr>
                <w:rFonts w:ascii="Arial" w:eastAsiaTheme="minorHAnsi" w:hAnsi="Arial" w:cs="Arial"/>
                <w:color w:val="000000"/>
                <w:sz w:val="23"/>
                <w:szCs w:val="23"/>
                <w:lang w:eastAsia="en-US"/>
              </w:rPr>
              <w:t>If a senior civil servant is to authorise approvals we would assume that they are competent in food matters. As food is currently devolved in Wales then should approval be authorised by someone with knowledge of devolved matters?</w:t>
            </w:r>
          </w:p>
        </w:tc>
        <w:tc>
          <w:tcPr>
            <w:tcW w:w="5403" w:type="dxa"/>
          </w:tcPr>
          <w:p w14:paraId="30C5E478" w14:textId="2FB98F4D" w:rsidR="000F3D99" w:rsidRPr="00033F05" w:rsidRDefault="00033F05" w:rsidP="009E529C">
            <w:pPr>
              <w:rPr>
                <w:rFonts w:ascii="Arial" w:hAnsi="Arial" w:cs="Arial"/>
                <w:b/>
                <w:sz w:val="24"/>
                <w:szCs w:val="24"/>
              </w:rPr>
            </w:pPr>
            <w:r w:rsidRPr="00033F05">
              <w:rPr>
                <w:rFonts w:ascii="Arial" w:hAnsi="Arial" w:cs="Arial"/>
                <w:b/>
                <w:sz w:val="24"/>
                <w:szCs w:val="24"/>
              </w:rPr>
              <w:t xml:space="preserve">C2. </w:t>
            </w:r>
            <w:r w:rsidRPr="00352CC2">
              <w:rPr>
                <w:rFonts w:ascii="Arial" w:hAnsi="Arial" w:cs="Arial"/>
                <w:sz w:val="24"/>
                <w:szCs w:val="24"/>
              </w:rPr>
              <w:t>Field Veterinary Leaders are responsible for conducting assessments at food establishments</w:t>
            </w:r>
            <w:r w:rsidR="00352CC2">
              <w:rPr>
                <w:rFonts w:ascii="Arial" w:hAnsi="Arial" w:cs="Arial"/>
                <w:sz w:val="24"/>
                <w:szCs w:val="24"/>
              </w:rPr>
              <w:t xml:space="preserve"> as they are competent in these matters. Where matters of concern are raised the SCS can ask for a panel to provide further input into their decision. This will include input fr</w:t>
            </w:r>
            <w:r w:rsidR="00EF710C">
              <w:rPr>
                <w:rFonts w:ascii="Arial" w:hAnsi="Arial" w:cs="Arial"/>
                <w:sz w:val="24"/>
                <w:szCs w:val="24"/>
              </w:rPr>
              <w:t>o</w:t>
            </w:r>
            <w:r w:rsidR="00352CC2">
              <w:rPr>
                <w:rFonts w:ascii="Arial" w:hAnsi="Arial" w:cs="Arial"/>
                <w:sz w:val="24"/>
                <w:szCs w:val="24"/>
              </w:rPr>
              <w:t xml:space="preserve">m colleagues who are also competent in this area and where the establishment is located in Wales the FSA </w:t>
            </w:r>
            <w:r w:rsidR="00352CC2">
              <w:rPr>
                <w:rFonts w:ascii="Arial" w:hAnsi="Arial" w:cs="Arial"/>
                <w:sz w:val="24"/>
                <w:szCs w:val="24"/>
              </w:rPr>
              <w:lastRenderedPageBreak/>
              <w:t xml:space="preserve">Director for Wales will also be invited to contribute.     </w:t>
            </w:r>
          </w:p>
        </w:tc>
      </w:tr>
      <w:tr w:rsidR="000F3D99" w:rsidRPr="00E25967" w14:paraId="16E1B4D1" w14:textId="77777777" w:rsidTr="005747B0">
        <w:tc>
          <w:tcPr>
            <w:tcW w:w="2816" w:type="dxa"/>
            <w:tcBorders>
              <w:top w:val="nil"/>
              <w:bottom w:val="nil"/>
            </w:tcBorders>
          </w:tcPr>
          <w:p w14:paraId="1F7C6653" w14:textId="77777777" w:rsidR="000F3D99" w:rsidRPr="00E25967" w:rsidRDefault="000F3D99" w:rsidP="009E529C">
            <w:pPr>
              <w:rPr>
                <w:rFonts w:ascii="Arial" w:hAnsi="Arial" w:cs="Arial"/>
                <w:sz w:val="24"/>
                <w:szCs w:val="24"/>
              </w:rPr>
            </w:pPr>
          </w:p>
        </w:tc>
        <w:tc>
          <w:tcPr>
            <w:tcW w:w="1364" w:type="dxa"/>
            <w:tcBorders>
              <w:top w:val="nil"/>
              <w:bottom w:val="nil"/>
            </w:tcBorders>
          </w:tcPr>
          <w:p w14:paraId="026E3E38" w14:textId="77777777" w:rsidR="000F3D99" w:rsidRPr="00E25967" w:rsidRDefault="000F3D99" w:rsidP="009E529C">
            <w:pPr>
              <w:rPr>
                <w:rFonts w:ascii="Arial" w:hAnsi="Arial" w:cs="Arial"/>
                <w:sz w:val="24"/>
                <w:szCs w:val="24"/>
              </w:rPr>
            </w:pPr>
          </w:p>
        </w:tc>
        <w:tc>
          <w:tcPr>
            <w:tcW w:w="4365" w:type="dxa"/>
          </w:tcPr>
          <w:p w14:paraId="6545DC82" w14:textId="7BDC7038"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sidRPr="00033F05">
              <w:rPr>
                <w:rFonts w:ascii="Arial" w:eastAsiaTheme="minorHAnsi" w:hAnsi="Arial" w:cs="Arial"/>
                <w:b/>
                <w:color w:val="000000"/>
                <w:sz w:val="24"/>
                <w:szCs w:val="24"/>
                <w:lang w:eastAsia="en-US"/>
              </w:rPr>
              <w:t>C3.</w:t>
            </w:r>
            <w:r>
              <w:rPr>
                <w:rFonts w:ascii="Arial" w:eastAsiaTheme="minorHAnsi" w:hAnsi="Arial" w:cs="Arial"/>
                <w:color w:val="000000"/>
                <w:sz w:val="24"/>
                <w:szCs w:val="24"/>
                <w:lang w:eastAsia="en-US"/>
              </w:rPr>
              <w:t xml:space="preserve"> </w:t>
            </w:r>
            <w:r w:rsidR="005747B0" w:rsidRPr="005747B0">
              <w:rPr>
                <w:rFonts w:ascii="Arial" w:eastAsiaTheme="minorHAnsi" w:hAnsi="Arial" w:cs="Arial"/>
                <w:b/>
                <w:bCs/>
                <w:color w:val="000000"/>
                <w:sz w:val="23"/>
                <w:szCs w:val="23"/>
                <w:lang w:eastAsia="en-US"/>
              </w:rPr>
              <w:t xml:space="preserve">Page 6 point 14 </w:t>
            </w:r>
          </w:p>
          <w:p w14:paraId="442952D3"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What would the initial enforcement process be if a decision for withdrawal of approval needs to go to the panel? In order to protect public health an instant decision may need to be made on site. For example are the OVs competent and authorised to serve a RAN to ensure that any risk to food safety is removed? </w:t>
            </w:r>
          </w:p>
          <w:p w14:paraId="5A55A96F" w14:textId="005B3C34" w:rsidR="00132B2E" w:rsidRPr="00E25967" w:rsidRDefault="005747B0" w:rsidP="005747B0">
            <w:pPr>
              <w:pStyle w:val="ListParagraph"/>
              <w:spacing w:after="0"/>
              <w:ind w:left="323" w:hanging="323"/>
              <w:rPr>
                <w:szCs w:val="24"/>
              </w:rPr>
            </w:pPr>
            <w:r w:rsidRPr="005747B0">
              <w:rPr>
                <w:rFonts w:eastAsiaTheme="minorHAnsi"/>
                <w:color w:val="000000"/>
                <w:sz w:val="23"/>
                <w:szCs w:val="23"/>
              </w:rPr>
              <w:t>How timely would the panels be convened?</w:t>
            </w:r>
          </w:p>
        </w:tc>
        <w:tc>
          <w:tcPr>
            <w:tcW w:w="5403" w:type="dxa"/>
          </w:tcPr>
          <w:p w14:paraId="1DCD5C75" w14:textId="77777777" w:rsidR="006501EF" w:rsidRDefault="00033F05" w:rsidP="006501EF">
            <w:pPr>
              <w:rPr>
                <w:rFonts w:ascii="Arial" w:hAnsi="Arial" w:cs="Arial"/>
                <w:b/>
                <w:sz w:val="24"/>
                <w:szCs w:val="24"/>
              </w:rPr>
            </w:pPr>
            <w:r w:rsidRPr="00033F05">
              <w:rPr>
                <w:rFonts w:ascii="Arial" w:hAnsi="Arial" w:cs="Arial"/>
                <w:b/>
                <w:sz w:val="24"/>
                <w:szCs w:val="24"/>
              </w:rPr>
              <w:t xml:space="preserve">C3. </w:t>
            </w:r>
            <w:r w:rsidR="006501EF" w:rsidRPr="006501EF">
              <w:rPr>
                <w:rFonts w:ascii="Arial" w:hAnsi="Arial" w:cs="Arial"/>
                <w:sz w:val="24"/>
                <w:szCs w:val="24"/>
              </w:rPr>
              <w:t>If a RAN is required to be served in order to safeguard public health then these will of course be served. OVs are authorised to serve these as indeed are other veterinary officials and meat hygiene inspectors.</w:t>
            </w:r>
            <w:r w:rsidR="006501EF">
              <w:rPr>
                <w:rFonts w:ascii="Arial" w:hAnsi="Arial" w:cs="Arial"/>
                <w:b/>
                <w:sz w:val="24"/>
                <w:szCs w:val="24"/>
              </w:rPr>
              <w:t xml:space="preserve">  </w:t>
            </w:r>
          </w:p>
          <w:p w14:paraId="18F3BB8A" w14:textId="0FB9D977" w:rsidR="006501EF" w:rsidRPr="006501EF" w:rsidRDefault="006501EF" w:rsidP="006501EF">
            <w:pPr>
              <w:rPr>
                <w:rFonts w:ascii="Arial" w:hAnsi="Arial" w:cs="Arial"/>
                <w:sz w:val="24"/>
                <w:szCs w:val="24"/>
              </w:rPr>
            </w:pPr>
            <w:r w:rsidRPr="006501EF">
              <w:rPr>
                <w:rFonts w:ascii="Arial" w:hAnsi="Arial" w:cs="Arial"/>
                <w:sz w:val="24"/>
                <w:szCs w:val="24"/>
              </w:rPr>
              <w:t xml:space="preserve">The use of enforcement notices such as a RAN is the appropriate enforcement mechanism when immediate action is required. </w:t>
            </w:r>
            <w:r>
              <w:rPr>
                <w:rFonts w:ascii="Arial" w:hAnsi="Arial" w:cs="Arial"/>
                <w:sz w:val="24"/>
                <w:szCs w:val="24"/>
              </w:rPr>
              <w:t xml:space="preserve">As such, a panel to decide whether an approval needs to be withdrawn can be arranged once the evidence has been collated by a Field Veterinary Leader and considered carefully.   </w:t>
            </w:r>
          </w:p>
          <w:p w14:paraId="2351DEEB" w14:textId="6A60A701" w:rsidR="006501EF" w:rsidRPr="00033F05" w:rsidRDefault="006501EF" w:rsidP="006501EF">
            <w:pPr>
              <w:rPr>
                <w:rFonts w:ascii="Arial" w:hAnsi="Arial" w:cs="Arial"/>
                <w:b/>
                <w:sz w:val="24"/>
                <w:szCs w:val="24"/>
              </w:rPr>
            </w:pPr>
          </w:p>
        </w:tc>
      </w:tr>
      <w:tr w:rsidR="000F3D99" w:rsidRPr="00E25967" w14:paraId="0916DEC5" w14:textId="77777777" w:rsidTr="005747B0">
        <w:tc>
          <w:tcPr>
            <w:tcW w:w="2816" w:type="dxa"/>
            <w:tcBorders>
              <w:top w:val="nil"/>
              <w:bottom w:val="nil"/>
            </w:tcBorders>
          </w:tcPr>
          <w:p w14:paraId="6D1046E1" w14:textId="77777777" w:rsidR="000F3D99" w:rsidRPr="00E25967" w:rsidRDefault="000F3D99" w:rsidP="009E529C">
            <w:pPr>
              <w:rPr>
                <w:rFonts w:ascii="Arial" w:hAnsi="Arial" w:cs="Arial"/>
                <w:sz w:val="24"/>
                <w:szCs w:val="24"/>
              </w:rPr>
            </w:pPr>
          </w:p>
        </w:tc>
        <w:tc>
          <w:tcPr>
            <w:tcW w:w="1364" w:type="dxa"/>
            <w:tcBorders>
              <w:top w:val="nil"/>
              <w:bottom w:val="nil"/>
            </w:tcBorders>
          </w:tcPr>
          <w:p w14:paraId="247C17C8" w14:textId="77777777" w:rsidR="000F3D99" w:rsidRPr="00E25967" w:rsidRDefault="000F3D99" w:rsidP="009E529C">
            <w:pPr>
              <w:rPr>
                <w:rFonts w:ascii="Arial" w:hAnsi="Arial" w:cs="Arial"/>
                <w:sz w:val="24"/>
                <w:szCs w:val="24"/>
              </w:rPr>
            </w:pPr>
          </w:p>
        </w:tc>
        <w:tc>
          <w:tcPr>
            <w:tcW w:w="4365" w:type="dxa"/>
          </w:tcPr>
          <w:p w14:paraId="5EDFD661" w14:textId="3FC86614"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sidRPr="00033F05">
              <w:rPr>
                <w:rFonts w:ascii="Arial" w:eastAsiaTheme="minorHAnsi" w:hAnsi="Arial" w:cs="Arial"/>
                <w:b/>
                <w:color w:val="000000"/>
                <w:sz w:val="24"/>
                <w:szCs w:val="24"/>
                <w:lang w:eastAsia="en-US"/>
              </w:rPr>
              <w:t>C4</w:t>
            </w:r>
            <w:r>
              <w:rPr>
                <w:rFonts w:ascii="Arial" w:eastAsiaTheme="minorHAnsi" w:hAnsi="Arial" w:cs="Arial"/>
                <w:color w:val="000000"/>
                <w:sz w:val="24"/>
                <w:szCs w:val="24"/>
                <w:lang w:eastAsia="en-US"/>
              </w:rPr>
              <w:t xml:space="preserve">. </w:t>
            </w:r>
            <w:r w:rsidR="005747B0" w:rsidRPr="005747B0">
              <w:rPr>
                <w:rFonts w:ascii="Arial" w:eastAsiaTheme="minorHAnsi" w:hAnsi="Arial" w:cs="Arial"/>
                <w:b/>
                <w:bCs/>
                <w:color w:val="000000"/>
                <w:sz w:val="23"/>
                <w:szCs w:val="23"/>
                <w:lang w:eastAsia="en-US"/>
              </w:rPr>
              <w:t xml:space="preserve">Page 17 point 58 </w:t>
            </w:r>
          </w:p>
          <w:p w14:paraId="4C302007"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“the CA may grant </w:t>
            </w:r>
            <w:r w:rsidRPr="005747B0">
              <w:rPr>
                <w:rFonts w:ascii="Arial" w:eastAsiaTheme="minorHAnsi" w:hAnsi="Arial" w:cs="Arial"/>
                <w:b/>
                <w:bCs/>
                <w:color w:val="000000"/>
                <w:sz w:val="23"/>
                <w:szCs w:val="23"/>
                <w:lang w:eastAsia="en-US"/>
              </w:rPr>
              <w:t xml:space="preserve">conditional approval </w:t>
            </w:r>
            <w:r w:rsidRPr="005747B0">
              <w:rPr>
                <w:rFonts w:ascii="Arial" w:eastAsiaTheme="minorHAnsi" w:hAnsi="Arial" w:cs="Arial"/>
                <w:color w:val="000000"/>
                <w:sz w:val="23"/>
                <w:szCs w:val="23"/>
                <w:lang w:eastAsia="en-US"/>
              </w:rPr>
              <w:t xml:space="preserve">if the establishment meets all the infrastructure and equipment requirements. The food business may not have recognisable fully developed and documented HACCP based procedures but the planned method of operation must not constitute a risk to public health and there must be adequate provision to control any such risks that have been identified. This is particularly so for high risk food items such as ready to eat meat products and minced meat/burger intended to be eaten less than thoroughly cooked. In such cases, the FBOs food safety management system needs to be </w:t>
            </w:r>
            <w:r w:rsidRPr="005747B0">
              <w:rPr>
                <w:rFonts w:ascii="Arial" w:eastAsiaTheme="minorHAnsi" w:hAnsi="Arial" w:cs="Arial"/>
                <w:color w:val="000000"/>
                <w:sz w:val="23"/>
                <w:szCs w:val="23"/>
                <w:lang w:eastAsia="en-US"/>
              </w:rPr>
              <w:lastRenderedPageBreak/>
              <w:t xml:space="preserve">available to the CA but if the establishment is not operational, it will not be possible to assess how effectively this works in practice”. </w:t>
            </w:r>
          </w:p>
          <w:p w14:paraId="47A918D1" w14:textId="6D498FBF" w:rsidR="000F3D99" w:rsidRPr="00E25967" w:rsidRDefault="005747B0" w:rsidP="005747B0">
            <w:pPr>
              <w:ind w:left="323" w:hanging="323"/>
              <w:rPr>
                <w:rFonts w:ascii="Arial" w:hAnsi="Arial" w:cs="Arial"/>
                <w:sz w:val="24"/>
                <w:szCs w:val="24"/>
              </w:rPr>
            </w:pPr>
            <w:r w:rsidRPr="005747B0">
              <w:rPr>
                <w:rFonts w:ascii="Arial" w:eastAsiaTheme="minorHAnsi" w:hAnsi="Arial" w:cs="Arial"/>
                <w:color w:val="000000"/>
                <w:sz w:val="23"/>
                <w:szCs w:val="23"/>
                <w:lang w:eastAsia="en-US"/>
              </w:rPr>
              <w:t xml:space="preserve">This is contrary to the FSA approvals guidance issued to LAs which states that “FBOs to demonstrate compliance with the requirements of Article 5 of Regulation 852/2004 and to gain approval establishments will have to fully meet the requirements of Regulations 852 and 853/2004”. </w:t>
            </w:r>
            <w:r w:rsidRPr="005747B0">
              <w:rPr>
                <w:rFonts w:ascii="Arial" w:eastAsiaTheme="minorHAnsi" w:hAnsi="Arial" w:cs="Arial"/>
                <w:i/>
                <w:iCs/>
                <w:color w:val="000000"/>
                <w:sz w:val="23"/>
                <w:szCs w:val="23"/>
                <w:lang w:eastAsia="en-US"/>
              </w:rPr>
              <w:t xml:space="preserve">E. coli </w:t>
            </w:r>
            <w:r w:rsidRPr="005747B0">
              <w:rPr>
                <w:rFonts w:ascii="Arial" w:eastAsiaTheme="minorHAnsi" w:hAnsi="Arial" w:cs="Arial"/>
                <w:color w:val="000000"/>
                <w:sz w:val="23"/>
                <w:szCs w:val="23"/>
                <w:lang w:eastAsia="en-US"/>
              </w:rPr>
              <w:t>O157 is a hazard that needs to be controlled through the business' food safety management system. We feel that a fully developed and documented HACCP system which is commensurate with the nature and size of the proposed operation should be in place prior to issuing conditional approval. We understand that HACCP is a live working document and will be subject to ongoing review as the business develops.</w:t>
            </w:r>
          </w:p>
        </w:tc>
        <w:tc>
          <w:tcPr>
            <w:tcW w:w="5403" w:type="dxa"/>
          </w:tcPr>
          <w:p w14:paraId="3D29D681" w14:textId="1DE94E26" w:rsidR="000F3D99" w:rsidRPr="00033F05" w:rsidRDefault="00033F05" w:rsidP="009E529C">
            <w:pPr>
              <w:rPr>
                <w:rFonts w:ascii="Arial" w:hAnsi="Arial" w:cs="Arial"/>
                <w:b/>
                <w:sz w:val="24"/>
                <w:szCs w:val="24"/>
              </w:rPr>
            </w:pPr>
            <w:r w:rsidRPr="00033F05">
              <w:rPr>
                <w:rFonts w:ascii="Arial" w:hAnsi="Arial" w:cs="Arial"/>
                <w:b/>
                <w:sz w:val="24"/>
                <w:szCs w:val="24"/>
              </w:rPr>
              <w:lastRenderedPageBreak/>
              <w:t xml:space="preserve">C4. </w:t>
            </w:r>
            <w:r w:rsidR="00F87762" w:rsidRPr="00F87762">
              <w:rPr>
                <w:rFonts w:ascii="Arial" w:hAnsi="Arial" w:cs="Arial"/>
                <w:sz w:val="24"/>
                <w:szCs w:val="24"/>
              </w:rPr>
              <w:t>The FBO needs to demonstrate the production of food is safe. It is for the F</w:t>
            </w:r>
            <w:r w:rsidR="00F87762">
              <w:rPr>
                <w:rFonts w:ascii="Arial" w:hAnsi="Arial" w:cs="Arial"/>
                <w:sz w:val="24"/>
                <w:szCs w:val="24"/>
              </w:rPr>
              <w:t xml:space="preserve">ield Veterinary Leader </w:t>
            </w:r>
            <w:r w:rsidR="00F87762" w:rsidRPr="00F87762">
              <w:rPr>
                <w:rFonts w:ascii="Arial" w:hAnsi="Arial" w:cs="Arial"/>
                <w:sz w:val="24"/>
                <w:szCs w:val="24"/>
              </w:rPr>
              <w:t>to determine this at the initial approval assessment visit. If they feel the nature of production requires the food safety management system to be fully documented prior to making this determination they are fully entitled to request this. If however, the process is relatively straightforward and the Field Veterinary Leader is content with the description provided to them of how the food safety management system is going to operate then the Agency is content for them to provide conditional approval</w:t>
            </w:r>
            <w:r w:rsidR="00F87762">
              <w:rPr>
                <w:rFonts w:ascii="Arial" w:hAnsi="Arial" w:cs="Arial"/>
                <w:sz w:val="24"/>
                <w:szCs w:val="24"/>
              </w:rPr>
              <w:t xml:space="preserve"> provided the lack of a documented FSMS is raised as a deficiency for which we would expect this to be resolved at the next approval assessment within three months. </w:t>
            </w:r>
            <w:r w:rsidR="00F87762">
              <w:rPr>
                <w:rFonts w:ascii="Arial" w:hAnsi="Arial" w:cs="Arial"/>
                <w:sz w:val="24"/>
                <w:szCs w:val="24"/>
              </w:rPr>
              <w:lastRenderedPageBreak/>
              <w:t xml:space="preserve">If the FBO has not demonstrated clear progress towards the full requirements of food law at this second approval assessment then approval will not be extended and full approval will be refused.  </w:t>
            </w:r>
          </w:p>
        </w:tc>
      </w:tr>
      <w:tr w:rsidR="005747B0" w:rsidRPr="00E25967" w14:paraId="4B234E7D" w14:textId="77777777" w:rsidTr="005747B0">
        <w:tc>
          <w:tcPr>
            <w:tcW w:w="2816" w:type="dxa"/>
            <w:tcBorders>
              <w:top w:val="nil"/>
              <w:bottom w:val="nil"/>
            </w:tcBorders>
          </w:tcPr>
          <w:p w14:paraId="118FD56D" w14:textId="7BF3AEF6" w:rsidR="005747B0" w:rsidRPr="00E25967" w:rsidRDefault="005747B0" w:rsidP="009E529C">
            <w:pPr>
              <w:rPr>
                <w:rFonts w:ascii="Arial" w:hAnsi="Arial" w:cs="Arial"/>
                <w:sz w:val="24"/>
                <w:szCs w:val="24"/>
              </w:rPr>
            </w:pPr>
          </w:p>
        </w:tc>
        <w:tc>
          <w:tcPr>
            <w:tcW w:w="1364" w:type="dxa"/>
            <w:tcBorders>
              <w:top w:val="nil"/>
              <w:bottom w:val="nil"/>
            </w:tcBorders>
          </w:tcPr>
          <w:p w14:paraId="55FB6D38" w14:textId="77777777" w:rsidR="005747B0" w:rsidRPr="00E25967" w:rsidRDefault="005747B0" w:rsidP="009E529C">
            <w:pPr>
              <w:rPr>
                <w:rFonts w:ascii="Arial" w:hAnsi="Arial" w:cs="Arial"/>
                <w:sz w:val="24"/>
                <w:szCs w:val="24"/>
              </w:rPr>
            </w:pPr>
          </w:p>
        </w:tc>
        <w:tc>
          <w:tcPr>
            <w:tcW w:w="4365" w:type="dxa"/>
          </w:tcPr>
          <w:p w14:paraId="4F8135E2" w14:textId="502378C2"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C5. </w:t>
            </w:r>
            <w:r w:rsidR="005747B0" w:rsidRPr="005747B0">
              <w:rPr>
                <w:rFonts w:ascii="Arial" w:eastAsiaTheme="minorHAnsi" w:hAnsi="Arial" w:cs="Arial"/>
                <w:b/>
                <w:bCs/>
                <w:color w:val="000000"/>
                <w:sz w:val="23"/>
                <w:szCs w:val="23"/>
                <w:lang w:eastAsia="en-US"/>
              </w:rPr>
              <w:t xml:space="preserve">Page 19 point 72 </w:t>
            </w:r>
          </w:p>
          <w:p w14:paraId="2AFCF3EC"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“3. Until conditionally approved by the FSA/FSS, responsibility for enforcement action remains with the LA or DC. When assessing for approval the FSA/FSS, where possible in consultation with the relevant LA or DC, will consider whether any enforcement action for the protection of public health is needed and </w:t>
            </w:r>
            <w:r w:rsidRPr="005747B0">
              <w:rPr>
                <w:rFonts w:ascii="Arial" w:eastAsiaTheme="minorHAnsi" w:hAnsi="Arial" w:cs="Arial"/>
                <w:color w:val="000000"/>
                <w:sz w:val="23"/>
                <w:szCs w:val="23"/>
                <w:lang w:eastAsia="en-US"/>
              </w:rPr>
              <w:lastRenderedPageBreak/>
              <w:t xml:space="preserve">communicate this to the relevant LA or DC responsible official.” </w:t>
            </w:r>
          </w:p>
          <w:p w14:paraId="45266FE3"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We strongly believe that as soon as the FSA becomes aware that a business falls within their enforcement responsibility then the FSA should assume responsibility for enforcement. There should be a clear transparent process, with guidance available that doesn’t confuse businesses or overburden LAs in an area which ultimately falls outside their remit. There is no timescale specified for handing the premise to the FSA. In circumstances where enforcement responsibility has transferred from FSA premises to LAs this has been with immediate effect. </w:t>
            </w:r>
          </w:p>
          <w:p w14:paraId="2999E725" w14:textId="6E9F386B" w:rsidR="005747B0" w:rsidRPr="005747B0" w:rsidRDefault="005747B0" w:rsidP="005747B0">
            <w:pPr>
              <w:autoSpaceDE w:val="0"/>
              <w:autoSpaceDN w:val="0"/>
              <w:adjustRightInd w:val="0"/>
              <w:rPr>
                <w:rFonts w:ascii="Arial" w:eastAsiaTheme="minorHAnsi" w:hAnsi="Arial" w:cs="Arial"/>
                <w:color w:val="000000"/>
                <w:sz w:val="24"/>
                <w:szCs w:val="24"/>
                <w:lang w:eastAsia="en-US"/>
              </w:rPr>
            </w:pPr>
            <w:r w:rsidRPr="005747B0">
              <w:rPr>
                <w:rFonts w:ascii="Arial" w:eastAsiaTheme="minorHAnsi" w:hAnsi="Arial" w:cs="Arial"/>
                <w:color w:val="000000"/>
                <w:sz w:val="23"/>
                <w:szCs w:val="23"/>
                <w:lang w:eastAsia="en-US"/>
              </w:rPr>
              <w:t>It is important that a collaborative approach takes place between the LAs and FSA were required, to ensure that a consistent approach is taken to applications, interpretation of statutory requirements and guidance. It would also be helpful if training was readily available to LA and FSA officers on the implementation of 852/2004 and 853/2004 in order to aid consistency in relation to interpretation of requirements and guidance in the appropriate areas.</w:t>
            </w:r>
          </w:p>
        </w:tc>
        <w:tc>
          <w:tcPr>
            <w:tcW w:w="5403" w:type="dxa"/>
          </w:tcPr>
          <w:p w14:paraId="4778FCDA" w14:textId="77777777" w:rsidR="0007378F" w:rsidRDefault="00033F05" w:rsidP="009E529C">
            <w:pPr>
              <w:rPr>
                <w:rFonts w:ascii="Arial" w:hAnsi="Arial" w:cs="Arial"/>
                <w:sz w:val="24"/>
                <w:szCs w:val="24"/>
              </w:rPr>
            </w:pPr>
            <w:r w:rsidRPr="00033F05">
              <w:rPr>
                <w:rFonts w:ascii="Arial" w:hAnsi="Arial" w:cs="Arial"/>
                <w:b/>
                <w:sz w:val="24"/>
                <w:szCs w:val="24"/>
              </w:rPr>
              <w:lastRenderedPageBreak/>
              <w:t xml:space="preserve">C5. </w:t>
            </w:r>
            <w:r w:rsidR="00F87762" w:rsidRPr="00F87762">
              <w:rPr>
                <w:rFonts w:ascii="Arial" w:hAnsi="Arial" w:cs="Arial"/>
                <w:sz w:val="24"/>
                <w:szCs w:val="24"/>
              </w:rPr>
              <w:t>The regulatory responsibility is set out in the Food Law Code of Practice. The Code of Practice is also currently subject to consultation and this comment has been passed to the FSA team responsible for this.</w:t>
            </w:r>
            <w:r w:rsidR="0007378F">
              <w:rPr>
                <w:rFonts w:ascii="Arial" w:hAnsi="Arial" w:cs="Arial"/>
                <w:sz w:val="24"/>
                <w:szCs w:val="24"/>
              </w:rPr>
              <w:t xml:space="preserve"> In addition to this, recommendation no. 7 is:</w:t>
            </w:r>
          </w:p>
          <w:p w14:paraId="1FFAA5A3" w14:textId="77777777" w:rsidR="0007378F" w:rsidRPr="0007378F" w:rsidRDefault="0007378F" w:rsidP="0007378F">
            <w:pPr>
              <w:pStyle w:val="Default"/>
            </w:pPr>
            <w:r w:rsidRPr="0007378F">
              <w:rPr>
                <w:i/>
                <w:iCs/>
              </w:rPr>
              <w:t xml:space="preserve">Invite a small, representative number of LAs to participate in a trial to evaluate the use of single </w:t>
            </w:r>
            <w:r w:rsidRPr="0007378F">
              <w:rPr>
                <w:i/>
                <w:iCs/>
              </w:rPr>
              <w:lastRenderedPageBreak/>
              <w:t xml:space="preserve">organisation to deliver all Official Controls in a geographic location </w:t>
            </w:r>
          </w:p>
          <w:p w14:paraId="10453C34" w14:textId="547C814B" w:rsidR="005747B0" w:rsidRPr="00033F05" w:rsidRDefault="0007378F" w:rsidP="009E529C">
            <w:pPr>
              <w:rPr>
                <w:rFonts w:ascii="Arial" w:hAnsi="Arial" w:cs="Arial"/>
                <w:b/>
                <w:sz w:val="24"/>
                <w:szCs w:val="24"/>
              </w:rPr>
            </w:pPr>
            <w:r>
              <w:rPr>
                <w:rFonts w:ascii="Arial" w:hAnsi="Arial" w:cs="Arial"/>
                <w:sz w:val="24"/>
                <w:szCs w:val="24"/>
              </w:rPr>
              <w:t xml:space="preserve"> </w:t>
            </w:r>
            <w:r w:rsidR="00F87762">
              <w:rPr>
                <w:rFonts w:ascii="Arial" w:hAnsi="Arial" w:cs="Arial"/>
                <w:b/>
                <w:sz w:val="24"/>
                <w:szCs w:val="24"/>
              </w:rPr>
              <w:t xml:space="preserve">   </w:t>
            </w:r>
          </w:p>
        </w:tc>
      </w:tr>
      <w:tr w:rsidR="005747B0" w:rsidRPr="00E25967" w14:paraId="49864558" w14:textId="77777777" w:rsidTr="005747B0">
        <w:tc>
          <w:tcPr>
            <w:tcW w:w="2816" w:type="dxa"/>
            <w:tcBorders>
              <w:top w:val="nil"/>
              <w:bottom w:val="nil"/>
            </w:tcBorders>
          </w:tcPr>
          <w:p w14:paraId="4F7E504A" w14:textId="77777777" w:rsidR="005747B0" w:rsidRPr="00E25967" w:rsidRDefault="005747B0" w:rsidP="009E529C">
            <w:pPr>
              <w:rPr>
                <w:rFonts w:ascii="Arial" w:hAnsi="Arial" w:cs="Arial"/>
                <w:sz w:val="24"/>
                <w:szCs w:val="24"/>
              </w:rPr>
            </w:pPr>
          </w:p>
        </w:tc>
        <w:tc>
          <w:tcPr>
            <w:tcW w:w="1364" w:type="dxa"/>
            <w:tcBorders>
              <w:top w:val="nil"/>
              <w:bottom w:val="nil"/>
            </w:tcBorders>
          </w:tcPr>
          <w:p w14:paraId="3BDB1900" w14:textId="77777777" w:rsidR="005747B0" w:rsidRPr="00E25967" w:rsidRDefault="005747B0" w:rsidP="009E529C">
            <w:pPr>
              <w:rPr>
                <w:rFonts w:ascii="Arial" w:hAnsi="Arial" w:cs="Arial"/>
                <w:sz w:val="24"/>
                <w:szCs w:val="24"/>
              </w:rPr>
            </w:pPr>
          </w:p>
        </w:tc>
        <w:tc>
          <w:tcPr>
            <w:tcW w:w="4365" w:type="dxa"/>
          </w:tcPr>
          <w:p w14:paraId="6F599E15" w14:textId="381640BB"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C6. </w:t>
            </w:r>
            <w:r w:rsidR="005747B0" w:rsidRPr="005747B0">
              <w:rPr>
                <w:rFonts w:ascii="Arial" w:eastAsiaTheme="minorHAnsi" w:hAnsi="Arial" w:cs="Arial"/>
                <w:b/>
                <w:bCs/>
                <w:color w:val="000000"/>
                <w:sz w:val="23"/>
                <w:szCs w:val="23"/>
                <w:lang w:eastAsia="en-US"/>
              </w:rPr>
              <w:t xml:space="preserve">Page 28 point 101 </w:t>
            </w:r>
          </w:p>
          <w:p w14:paraId="5C1286A9"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Where a “minded to” Notice of Review of Approval has been served the FBO may provide the CA, within 14 calendar days from the date of service, with any </w:t>
            </w:r>
            <w:r w:rsidRPr="005747B0">
              <w:rPr>
                <w:rFonts w:ascii="Arial" w:eastAsiaTheme="minorHAnsi" w:hAnsi="Arial" w:cs="Arial"/>
                <w:color w:val="000000"/>
                <w:sz w:val="23"/>
                <w:szCs w:val="23"/>
                <w:lang w:eastAsia="en-US"/>
              </w:rPr>
              <w:lastRenderedPageBreak/>
              <w:t xml:space="preserve">guarantees regarding future production that it will resolve the deficiencies within a reasonable time. </w:t>
            </w:r>
          </w:p>
          <w:p w14:paraId="5F5AF7FB" w14:textId="4DC4E520" w:rsidR="005747B0" w:rsidRPr="005747B0" w:rsidRDefault="005747B0" w:rsidP="005747B0">
            <w:pPr>
              <w:autoSpaceDE w:val="0"/>
              <w:autoSpaceDN w:val="0"/>
              <w:adjustRightInd w:val="0"/>
              <w:rPr>
                <w:rFonts w:ascii="Arial" w:eastAsiaTheme="minorHAnsi" w:hAnsi="Arial" w:cs="Arial"/>
                <w:b/>
                <w:bCs/>
                <w:color w:val="000000"/>
                <w:sz w:val="23"/>
                <w:szCs w:val="23"/>
                <w:lang w:eastAsia="en-US"/>
              </w:rPr>
            </w:pPr>
            <w:r w:rsidRPr="005747B0">
              <w:rPr>
                <w:rFonts w:ascii="Arial" w:eastAsiaTheme="minorHAnsi" w:hAnsi="Arial" w:cs="Arial"/>
                <w:color w:val="000000"/>
                <w:sz w:val="23"/>
                <w:szCs w:val="23"/>
                <w:lang w:eastAsia="en-US"/>
              </w:rPr>
              <w:t>What is the rationale for the FSA and LAs having a different approval processes? LAs do not use “minded to” Notices of review of approval. If an enforcement body is considering withdrawing an approval then there must be serious deficiencies, which is an actual or potential risk to public health. The “minded to” process is a lower standard to that enforced in LA approved premises. The process should be brought up to the LA standard. Use of these notices adds complexity and extends the time taken to resolve the serious deficiency. The definition of within a reasonable time is not consistent with that given in the LA guidance which is within 14 days.</w:t>
            </w:r>
          </w:p>
        </w:tc>
        <w:tc>
          <w:tcPr>
            <w:tcW w:w="5403" w:type="dxa"/>
          </w:tcPr>
          <w:p w14:paraId="09FB208B" w14:textId="77777777" w:rsidR="00083D43" w:rsidRDefault="00033F05" w:rsidP="009E529C">
            <w:pPr>
              <w:rPr>
                <w:rFonts w:ascii="Arial" w:hAnsi="Arial" w:cs="Arial"/>
                <w:b/>
                <w:sz w:val="24"/>
                <w:szCs w:val="24"/>
              </w:rPr>
            </w:pPr>
            <w:r w:rsidRPr="00033F05">
              <w:rPr>
                <w:rFonts w:ascii="Arial" w:hAnsi="Arial" w:cs="Arial"/>
                <w:b/>
                <w:sz w:val="24"/>
                <w:szCs w:val="24"/>
              </w:rPr>
              <w:lastRenderedPageBreak/>
              <w:t xml:space="preserve">C6. </w:t>
            </w:r>
            <w:r w:rsidR="00083D43">
              <w:rPr>
                <w:rFonts w:ascii="Arial" w:hAnsi="Arial" w:cs="Arial"/>
                <w:b/>
                <w:sz w:val="24"/>
                <w:szCs w:val="24"/>
              </w:rPr>
              <w:t>The review of approval process is described in Article 31(2) (e) of Regulation (EC) 882/2004</w:t>
            </w:r>
          </w:p>
          <w:p w14:paraId="0CE8B0A0" w14:textId="77777777" w:rsidR="00083D43" w:rsidRDefault="00083D43" w:rsidP="009E529C">
            <w:pPr>
              <w:rPr>
                <w:rFonts w:ascii="Arial" w:hAnsi="Arial" w:cs="Arial"/>
                <w:b/>
                <w:sz w:val="24"/>
                <w:szCs w:val="24"/>
              </w:rPr>
            </w:pPr>
          </w:p>
          <w:p w14:paraId="7F17F293" w14:textId="6DD7456A" w:rsidR="00083D43" w:rsidRPr="00655900" w:rsidRDefault="00083D43" w:rsidP="00083D43">
            <w:pPr>
              <w:pStyle w:val="Default"/>
              <w:rPr>
                <w:i/>
              </w:rPr>
            </w:pPr>
            <w:r w:rsidRPr="00655900">
              <w:rPr>
                <w:i/>
                <w:iCs/>
                <w:sz w:val="22"/>
                <w:szCs w:val="22"/>
              </w:rPr>
              <w:lastRenderedPageBreak/>
              <w:t>‘</w:t>
            </w:r>
            <w:r w:rsidRPr="00655900">
              <w:rPr>
                <w:i/>
                <w:iCs/>
              </w:rPr>
              <w:t xml:space="preserve">The CA shall keep the approval of establishments under review when carrying out official controls. If the CA identifies serious deficiencies or has to stop production at an establishment repeatedly </w:t>
            </w:r>
            <w:r w:rsidRPr="00655900">
              <w:rPr>
                <w:b/>
                <w:i/>
                <w:iCs/>
              </w:rPr>
              <w:t>and the feed or food business operator is not able to provide adequate guarantees regarding future production</w:t>
            </w:r>
            <w:r w:rsidRPr="00655900">
              <w:rPr>
                <w:i/>
                <w:iCs/>
              </w:rPr>
              <w:t>, the CA shall initiate procedures to withdraw the establishment’s approval. However, the CA may suspend an establishment’s approval if the feed or food business operator can guarantee that it will resolve deficiencies within a reasonable time‘</w:t>
            </w:r>
          </w:p>
          <w:p w14:paraId="461B9BD3" w14:textId="77777777" w:rsidR="005747B0" w:rsidRDefault="00083D43" w:rsidP="009E529C">
            <w:pPr>
              <w:rPr>
                <w:rFonts w:ascii="Arial" w:hAnsi="Arial" w:cs="Arial"/>
                <w:b/>
                <w:sz w:val="24"/>
                <w:szCs w:val="24"/>
              </w:rPr>
            </w:pPr>
            <w:r>
              <w:rPr>
                <w:rFonts w:ascii="Arial" w:hAnsi="Arial" w:cs="Arial"/>
                <w:b/>
                <w:sz w:val="24"/>
                <w:szCs w:val="24"/>
              </w:rPr>
              <w:t xml:space="preserve">   </w:t>
            </w:r>
          </w:p>
          <w:p w14:paraId="5695F62F" w14:textId="65F0EBEB" w:rsidR="00083D43" w:rsidRPr="00083D43" w:rsidRDefault="00083D43" w:rsidP="009E529C">
            <w:pPr>
              <w:rPr>
                <w:rFonts w:ascii="Arial" w:hAnsi="Arial" w:cs="Arial"/>
                <w:sz w:val="24"/>
                <w:szCs w:val="24"/>
              </w:rPr>
            </w:pPr>
            <w:r w:rsidRPr="00083D43">
              <w:rPr>
                <w:rFonts w:ascii="Arial" w:hAnsi="Arial" w:cs="Arial"/>
                <w:sz w:val="24"/>
                <w:szCs w:val="24"/>
              </w:rPr>
              <w:t>There is an inference in the bold text that a food business is provided an opportunity to provide such guarantees. This process is also described in the LA Guidance document</w:t>
            </w:r>
          </w:p>
          <w:p w14:paraId="237B0737" w14:textId="77777777" w:rsidR="00083D43" w:rsidRPr="00083D43" w:rsidRDefault="00083D43" w:rsidP="009E529C">
            <w:pPr>
              <w:rPr>
                <w:rFonts w:ascii="Arial" w:hAnsi="Arial" w:cs="Arial"/>
                <w:sz w:val="24"/>
                <w:szCs w:val="24"/>
              </w:rPr>
            </w:pPr>
          </w:p>
          <w:p w14:paraId="492D8260" w14:textId="0F6A9A52" w:rsidR="00083D43" w:rsidRDefault="00083D43" w:rsidP="00083D43">
            <w:pPr>
              <w:rPr>
                <w:rFonts w:ascii="Arial" w:hAnsi="Arial" w:cs="Arial"/>
                <w:i/>
                <w:sz w:val="24"/>
                <w:szCs w:val="24"/>
              </w:rPr>
            </w:pPr>
            <w:r w:rsidRPr="00083D43">
              <w:rPr>
                <w:rFonts w:ascii="Arial" w:hAnsi="Arial" w:cs="Arial"/>
                <w:i/>
                <w:sz w:val="24"/>
                <w:szCs w:val="24"/>
              </w:rPr>
              <w:t xml:space="preserve">The </w:t>
            </w:r>
            <w:r w:rsidRPr="0070592F">
              <w:rPr>
                <w:rFonts w:ascii="Arial" w:hAnsi="Arial" w:cs="Arial"/>
                <w:b/>
                <w:i/>
                <w:sz w:val="24"/>
                <w:szCs w:val="24"/>
              </w:rPr>
              <w:t>provisional decision</w:t>
            </w:r>
            <w:r w:rsidRPr="00083D43">
              <w:rPr>
                <w:rFonts w:ascii="Arial" w:hAnsi="Arial" w:cs="Arial"/>
                <w:i/>
                <w:sz w:val="24"/>
                <w:szCs w:val="24"/>
              </w:rPr>
              <w:t xml:space="preserve"> to withdraw the approval must be communicated in writing to the FBO. The FBO must provide the LA with any guarantees that it will resolve the deficiencies within a reasonable time. </w:t>
            </w:r>
          </w:p>
          <w:p w14:paraId="07AEEE5F" w14:textId="5CFB56ED" w:rsidR="00655900" w:rsidRDefault="00655900" w:rsidP="00083D43">
            <w:pPr>
              <w:rPr>
                <w:rFonts w:ascii="Arial" w:hAnsi="Arial" w:cs="Arial"/>
                <w:i/>
                <w:sz w:val="24"/>
                <w:szCs w:val="24"/>
              </w:rPr>
            </w:pPr>
          </w:p>
          <w:p w14:paraId="3142A694" w14:textId="118FEECC" w:rsidR="00655900" w:rsidRPr="0070592F" w:rsidRDefault="00655900" w:rsidP="00083D43">
            <w:pPr>
              <w:rPr>
                <w:rFonts w:ascii="Arial" w:hAnsi="Arial" w:cs="Arial"/>
                <w:sz w:val="24"/>
                <w:szCs w:val="24"/>
              </w:rPr>
            </w:pPr>
            <w:r w:rsidRPr="0070592F">
              <w:rPr>
                <w:rFonts w:ascii="Arial" w:hAnsi="Arial" w:cs="Arial"/>
                <w:sz w:val="24"/>
                <w:szCs w:val="24"/>
              </w:rPr>
              <w:t>The intention is that the FBO provides a response within 14 days. Th</w:t>
            </w:r>
            <w:r w:rsidR="0070592F">
              <w:rPr>
                <w:rFonts w:ascii="Arial" w:hAnsi="Arial" w:cs="Arial"/>
                <w:sz w:val="24"/>
                <w:szCs w:val="24"/>
              </w:rPr>
              <w:t>is</w:t>
            </w:r>
            <w:r w:rsidRPr="0070592F">
              <w:rPr>
                <w:rFonts w:ascii="Arial" w:hAnsi="Arial" w:cs="Arial"/>
                <w:sz w:val="24"/>
                <w:szCs w:val="24"/>
              </w:rPr>
              <w:t xml:space="preserve"> response must provide guarantees of how the serious deficiency is to be resolved within a </w:t>
            </w:r>
            <w:r w:rsidRPr="0070592F">
              <w:rPr>
                <w:rFonts w:ascii="Arial" w:hAnsi="Arial" w:cs="Arial"/>
                <w:i/>
                <w:sz w:val="24"/>
                <w:szCs w:val="24"/>
              </w:rPr>
              <w:t>reasonable</w:t>
            </w:r>
            <w:r w:rsidRPr="0070592F">
              <w:rPr>
                <w:rFonts w:ascii="Arial" w:hAnsi="Arial" w:cs="Arial"/>
                <w:sz w:val="24"/>
                <w:szCs w:val="24"/>
              </w:rPr>
              <w:t xml:space="preserve"> time. </w:t>
            </w:r>
          </w:p>
          <w:p w14:paraId="71EF8818" w14:textId="77777777" w:rsidR="00083D43" w:rsidRPr="0070592F" w:rsidRDefault="00083D43" w:rsidP="00083D43">
            <w:pPr>
              <w:rPr>
                <w:rFonts w:ascii="Arial" w:hAnsi="Arial" w:cs="Arial"/>
                <w:sz w:val="24"/>
                <w:szCs w:val="24"/>
              </w:rPr>
            </w:pPr>
          </w:p>
          <w:p w14:paraId="3FE83000" w14:textId="1E4CBFC2" w:rsidR="00083D43" w:rsidRPr="00033F05" w:rsidRDefault="0070592F" w:rsidP="0070592F">
            <w:pPr>
              <w:rPr>
                <w:rFonts w:ascii="Arial" w:hAnsi="Arial" w:cs="Arial"/>
                <w:b/>
                <w:sz w:val="24"/>
                <w:szCs w:val="24"/>
              </w:rPr>
            </w:pPr>
            <w:r>
              <w:rPr>
                <w:rFonts w:ascii="Arial" w:hAnsi="Arial" w:cs="Arial"/>
                <w:sz w:val="24"/>
                <w:szCs w:val="24"/>
              </w:rPr>
              <w:lastRenderedPageBreak/>
              <w:t xml:space="preserve">It is the timeframe for rectifying the serious deficiency which needs to be </w:t>
            </w:r>
            <w:r w:rsidR="00083D43" w:rsidRPr="0070592F">
              <w:rPr>
                <w:rFonts w:ascii="Arial" w:hAnsi="Arial" w:cs="Arial"/>
                <w:sz w:val="24"/>
                <w:szCs w:val="24"/>
              </w:rPr>
              <w:t xml:space="preserve">“Reasonable” </w:t>
            </w:r>
            <w:r>
              <w:rPr>
                <w:rFonts w:ascii="Arial" w:hAnsi="Arial" w:cs="Arial"/>
                <w:sz w:val="24"/>
                <w:szCs w:val="24"/>
              </w:rPr>
              <w:t xml:space="preserve">and it is this which is </w:t>
            </w:r>
            <w:r w:rsidR="00083D43" w:rsidRPr="0070592F">
              <w:rPr>
                <w:rFonts w:ascii="Arial" w:hAnsi="Arial" w:cs="Arial"/>
                <w:i/>
                <w:sz w:val="24"/>
                <w:szCs w:val="24"/>
              </w:rPr>
              <w:t>relative to the nature and magnitude of the deficiencies present</w:t>
            </w:r>
            <w:r w:rsidRPr="0070592F">
              <w:rPr>
                <w:rFonts w:ascii="Arial" w:hAnsi="Arial" w:cs="Arial"/>
                <w:i/>
                <w:sz w:val="24"/>
                <w:szCs w:val="24"/>
              </w:rPr>
              <w:t>.</w:t>
            </w:r>
            <w:r>
              <w:rPr>
                <w:rFonts w:ascii="Arial" w:hAnsi="Arial" w:cs="Arial"/>
                <w:sz w:val="24"/>
                <w:szCs w:val="24"/>
              </w:rPr>
              <w:t xml:space="preserve"> This point needs greater clarity in the LA Guidance document and these comments have been forwarded to the team responsible for the publication of this. </w:t>
            </w:r>
          </w:p>
        </w:tc>
      </w:tr>
      <w:tr w:rsidR="005747B0" w:rsidRPr="00E25967" w14:paraId="72B42CB0" w14:textId="77777777" w:rsidTr="005747B0">
        <w:tc>
          <w:tcPr>
            <w:tcW w:w="2816" w:type="dxa"/>
            <w:tcBorders>
              <w:top w:val="nil"/>
              <w:bottom w:val="nil"/>
            </w:tcBorders>
          </w:tcPr>
          <w:p w14:paraId="1EFA10FC" w14:textId="77777777" w:rsidR="005747B0" w:rsidRPr="00E25967" w:rsidRDefault="005747B0" w:rsidP="009E529C">
            <w:pPr>
              <w:rPr>
                <w:rFonts w:ascii="Arial" w:hAnsi="Arial" w:cs="Arial"/>
                <w:sz w:val="24"/>
                <w:szCs w:val="24"/>
              </w:rPr>
            </w:pPr>
          </w:p>
        </w:tc>
        <w:tc>
          <w:tcPr>
            <w:tcW w:w="1364" w:type="dxa"/>
            <w:tcBorders>
              <w:top w:val="nil"/>
              <w:bottom w:val="nil"/>
            </w:tcBorders>
          </w:tcPr>
          <w:p w14:paraId="7A6A4645" w14:textId="77777777" w:rsidR="005747B0" w:rsidRPr="00E25967" w:rsidRDefault="005747B0" w:rsidP="009E529C">
            <w:pPr>
              <w:rPr>
                <w:rFonts w:ascii="Arial" w:hAnsi="Arial" w:cs="Arial"/>
                <w:sz w:val="24"/>
                <w:szCs w:val="24"/>
              </w:rPr>
            </w:pPr>
          </w:p>
        </w:tc>
        <w:tc>
          <w:tcPr>
            <w:tcW w:w="4365" w:type="dxa"/>
          </w:tcPr>
          <w:p w14:paraId="62AF7B63" w14:textId="1B59685C"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C7. </w:t>
            </w:r>
            <w:r w:rsidR="005747B0" w:rsidRPr="005747B0">
              <w:rPr>
                <w:rFonts w:ascii="Arial" w:eastAsiaTheme="minorHAnsi" w:hAnsi="Arial" w:cs="Arial"/>
                <w:b/>
                <w:bCs/>
                <w:color w:val="000000"/>
                <w:sz w:val="23"/>
                <w:szCs w:val="23"/>
                <w:lang w:eastAsia="en-US"/>
              </w:rPr>
              <w:t xml:space="preserve">Page 31 point 112 </w:t>
            </w:r>
          </w:p>
          <w:p w14:paraId="011D7B35" w14:textId="77777777" w:rsidR="005747B0" w:rsidRPr="005747B0" w:rsidRDefault="005747B0" w:rsidP="005747B0">
            <w:pPr>
              <w:autoSpaceDE w:val="0"/>
              <w:autoSpaceDN w:val="0"/>
              <w:adjustRightInd w:val="0"/>
              <w:rPr>
                <w:rFonts w:ascii="Arial" w:eastAsiaTheme="minorHAnsi" w:hAnsi="Arial" w:cs="Arial"/>
                <w:color w:val="000000"/>
                <w:sz w:val="23"/>
                <w:szCs w:val="23"/>
                <w:lang w:eastAsia="en-US"/>
              </w:rPr>
            </w:pPr>
            <w:r w:rsidRPr="005747B0">
              <w:rPr>
                <w:rFonts w:ascii="Arial" w:eastAsiaTheme="minorHAnsi" w:hAnsi="Arial" w:cs="Arial"/>
                <w:color w:val="000000"/>
                <w:sz w:val="23"/>
                <w:szCs w:val="23"/>
                <w:lang w:eastAsia="en-US"/>
              </w:rPr>
              <w:t xml:space="preserve">On change of FBO an establishment can continue to operate under the existing approval for a short period of time, but not exceeding a maximum of </w:t>
            </w:r>
            <w:r w:rsidRPr="005747B0">
              <w:rPr>
                <w:rFonts w:ascii="Arial" w:eastAsiaTheme="minorHAnsi" w:hAnsi="Arial" w:cs="Arial"/>
                <w:b/>
                <w:bCs/>
                <w:color w:val="000000"/>
                <w:sz w:val="23"/>
                <w:szCs w:val="23"/>
                <w:lang w:eastAsia="en-US"/>
              </w:rPr>
              <w:t xml:space="preserve">25 working days </w:t>
            </w:r>
            <w:r w:rsidRPr="005747B0">
              <w:rPr>
                <w:rFonts w:ascii="Arial" w:eastAsiaTheme="minorHAnsi" w:hAnsi="Arial" w:cs="Arial"/>
                <w:color w:val="000000"/>
                <w:sz w:val="23"/>
                <w:szCs w:val="23"/>
                <w:lang w:eastAsia="en-US"/>
              </w:rPr>
              <w:t xml:space="preserve">after the change of FBO, until an approval assessment is carried out by the CA. </w:t>
            </w:r>
          </w:p>
          <w:p w14:paraId="5A16C425" w14:textId="630C457E" w:rsidR="005747B0" w:rsidRPr="005747B0" w:rsidRDefault="005747B0" w:rsidP="005747B0">
            <w:pPr>
              <w:autoSpaceDE w:val="0"/>
              <w:autoSpaceDN w:val="0"/>
              <w:adjustRightInd w:val="0"/>
              <w:rPr>
                <w:rFonts w:ascii="Arial" w:eastAsiaTheme="minorHAnsi" w:hAnsi="Arial" w:cs="Arial"/>
                <w:color w:val="000000"/>
                <w:sz w:val="24"/>
                <w:szCs w:val="24"/>
                <w:lang w:eastAsia="en-US"/>
              </w:rPr>
            </w:pPr>
            <w:r w:rsidRPr="005747B0">
              <w:rPr>
                <w:rFonts w:ascii="Arial" w:eastAsiaTheme="minorHAnsi" w:hAnsi="Arial" w:cs="Arial"/>
                <w:color w:val="000000"/>
                <w:sz w:val="23"/>
                <w:szCs w:val="23"/>
                <w:lang w:eastAsia="en-US"/>
              </w:rPr>
              <w:t>This flexibility is not afforded in the LA approvals guidance. There needs to be a level playing field for businesses.</w:t>
            </w:r>
          </w:p>
        </w:tc>
        <w:tc>
          <w:tcPr>
            <w:tcW w:w="5403" w:type="dxa"/>
          </w:tcPr>
          <w:p w14:paraId="366F9BAE" w14:textId="6041D536" w:rsidR="005747B0" w:rsidRPr="00033F05" w:rsidRDefault="00033F05" w:rsidP="009E529C">
            <w:pPr>
              <w:rPr>
                <w:rFonts w:ascii="Arial" w:hAnsi="Arial" w:cs="Arial"/>
                <w:b/>
                <w:sz w:val="24"/>
                <w:szCs w:val="24"/>
              </w:rPr>
            </w:pPr>
            <w:r w:rsidRPr="00033F05">
              <w:rPr>
                <w:rFonts w:ascii="Arial" w:hAnsi="Arial" w:cs="Arial"/>
                <w:b/>
                <w:sz w:val="24"/>
                <w:szCs w:val="24"/>
              </w:rPr>
              <w:t xml:space="preserve">C7. </w:t>
            </w:r>
            <w:r w:rsidR="0070592F" w:rsidRPr="0070592F">
              <w:rPr>
                <w:rFonts w:ascii="Arial" w:hAnsi="Arial" w:cs="Arial"/>
                <w:sz w:val="24"/>
                <w:szCs w:val="24"/>
              </w:rPr>
              <w:t>The process for approving establishments which have changed ownership was establish</w:t>
            </w:r>
            <w:r w:rsidR="0070592F">
              <w:rPr>
                <w:rFonts w:ascii="Arial" w:hAnsi="Arial" w:cs="Arial"/>
                <w:sz w:val="24"/>
                <w:szCs w:val="24"/>
              </w:rPr>
              <w:t xml:space="preserve">ed </w:t>
            </w:r>
            <w:r w:rsidR="0070592F" w:rsidRPr="0070592F">
              <w:rPr>
                <w:rFonts w:ascii="Arial" w:hAnsi="Arial" w:cs="Arial"/>
                <w:sz w:val="24"/>
                <w:szCs w:val="24"/>
              </w:rPr>
              <w:t xml:space="preserve"> in </w:t>
            </w:r>
            <w:r w:rsidR="0070592F">
              <w:rPr>
                <w:rFonts w:ascii="Arial" w:hAnsi="Arial" w:cs="Arial"/>
                <w:sz w:val="24"/>
                <w:szCs w:val="24"/>
              </w:rPr>
              <w:t xml:space="preserve">late </w:t>
            </w:r>
            <w:r w:rsidR="0070592F" w:rsidRPr="0070592F">
              <w:rPr>
                <w:rFonts w:ascii="Arial" w:hAnsi="Arial" w:cs="Arial"/>
                <w:sz w:val="24"/>
                <w:szCs w:val="24"/>
              </w:rPr>
              <w:t>2011/</w:t>
            </w:r>
            <w:r w:rsidR="0070592F">
              <w:rPr>
                <w:rFonts w:ascii="Arial" w:hAnsi="Arial" w:cs="Arial"/>
                <w:sz w:val="24"/>
                <w:szCs w:val="24"/>
              </w:rPr>
              <w:t xml:space="preserve"> early 20</w:t>
            </w:r>
            <w:r w:rsidR="0070592F" w:rsidRPr="0070592F">
              <w:rPr>
                <w:rFonts w:ascii="Arial" w:hAnsi="Arial" w:cs="Arial"/>
                <w:sz w:val="24"/>
                <w:szCs w:val="24"/>
              </w:rPr>
              <w:t xml:space="preserve">12 in consultation with industry. The FSA acknowledged concerns made </w:t>
            </w:r>
            <w:r w:rsidR="0070592F">
              <w:rPr>
                <w:rFonts w:ascii="Arial" w:hAnsi="Arial" w:cs="Arial"/>
                <w:sz w:val="24"/>
                <w:szCs w:val="24"/>
              </w:rPr>
              <w:t xml:space="preserve">by Industry </w:t>
            </w:r>
            <w:r w:rsidR="0070592F" w:rsidRPr="0070592F">
              <w:rPr>
                <w:rFonts w:ascii="Arial" w:hAnsi="Arial" w:cs="Arial"/>
                <w:sz w:val="24"/>
                <w:szCs w:val="24"/>
              </w:rPr>
              <w:t xml:space="preserve">at the time </w:t>
            </w:r>
            <w:r w:rsidR="0070592F">
              <w:rPr>
                <w:rFonts w:ascii="Arial" w:hAnsi="Arial" w:cs="Arial"/>
                <w:sz w:val="24"/>
                <w:szCs w:val="24"/>
              </w:rPr>
              <w:t xml:space="preserve">that a business changing ownership being required to cease production pending a new approval could prevent the sale of such a business. As such it introduced the procedure to allow, in certain circumstances described in the policy for a new owner to continue the same production pending a new approval assessment. </w:t>
            </w:r>
            <w:r w:rsidR="004974DE">
              <w:rPr>
                <w:rFonts w:ascii="Arial" w:hAnsi="Arial" w:cs="Arial"/>
                <w:sz w:val="24"/>
                <w:szCs w:val="24"/>
              </w:rPr>
              <w:t xml:space="preserve">This comment has also been forwarded to the team responsible for the publication of the LA Guidance as this requires rectification. </w:t>
            </w:r>
            <w:r w:rsidR="0070592F">
              <w:rPr>
                <w:rFonts w:ascii="Arial" w:hAnsi="Arial" w:cs="Arial"/>
                <w:sz w:val="24"/>
                <w:szCs w:val="24"/>
              </w:rPr>
              <w:t xml:space="preserve"> </w:t>
            </w:r>
          </w:p>
        </w:tc>
      </w:tr>
      <w:tr w:rsidR="005747B0" w:rsidRPr="00E25967" w14:paraId="6CC618CC" w14:textId="77777777" w:rsidTr="005747B0">
        <w:tc>
          <w:tcPr>
            <w:tcW w:w="2816" w:type="dxa"/>
            <w:tcBorders>
              <w:top w:val="nil"/>
              <w:bottom w:val="nil"/>
            </w:tcBorders>
          </w:tcPr>
          <w:p w14:paraId="3E15F3CC" w14:textId="77777777" w:rsidR="005747B0" w:rsidRPr="00E25967" w:rsidRDefault="005747B0" w:rsidP="009E529C">
            <w:pPr>
              <w:rPr>
                <w:rFonts w:ascii="Arial" w:hAnsi="Arial" w:cs="Arial"/>
                <w:sz w:val="24"/>
                <w:szCs w:val="24"/>
              </w:rPr>
            </w:pPr>
          </w:p>
        </w:tc>
        <w:tc>
          <w:tcPr>
            <w:tcW w:w="1364" w:type="dxa"/>
            <w:tcBorders>
              <w:top w:val="nil"/>
              <w:bottom w:val="nil"/>
            </w:tcBorders>
          </w:tcPr>
          <w:p w14:paraId="6B36A981" w14:textId="77777777" w:rsidR="005747B0" w:rsidRPr="00E25967" w:rsidRDefault="005747B0" w:rsidP="009E529C">
            <w:pPr>
              <w:rPr>
                <w:rFonts w:ascii="Arial" w:hAnsi="Arial" w:cs="Arial"/>
                <w:sz w:val="24"/>
                <w:szCs w:val="24"/>
              </w:rPr>
            </w:pPr>
          </w:p>
        </w:tc>
        <w:tc>
          <w:tcPr>
            <w:tcW w:w="4365" w:type="dxa"/>
          </w:tcPr>
          <w:p w14:paraId="1D9B3E63" w14:textId="63BADBCB" w:rsidR="005747B0" w:rsidRPr="005747B0" w:rsidRDefault="00033F05" w:rsidP="005747B0">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b/>
                <w:bCs/>
                <w:color w:val="000000"/>
                <w:sz w:val="23"/>
                <w:szCs w:val="23"/>
                <w:lang w:eastAsia="en-US"/>
              </w:rPr>
              <w:t xml:space="preserve">C8. </w:t>
            </w:r>
            <w:r w:rsidR="005747B0" w:rsidRPr="005747B0">
              <w:rPr>
                <w:rFonts w:ascii="Arial" w:eastAsiaTheme="minorHAnsi" w:hAnsi="Arial" w:cs="Arial"/>
                <w:b/>
                <w:bCs/>
                <w:color w:val="000000"/>
                <w:sz w:val="23"/>
                <w:szCs w:val="23"/>
                <w:lang w:eastAsia="en-US"/>
              </w:rPr>
              <w:t xml:space="preserve">Annexe H Flowchart </w:t>
            </w:r>
          </w:p>
          <w:p w14:paraId="2B11B63F" w14:textId="67B525EB" w:rsidR="005747B0" w:rsidRPr="005747B0" w:rsidRDefault="005747B0" w:rsidP="005747B0">
            <w:pPr>
              <w:autoSpaceDE w:val="0"/>
              <w:autoSpaceDN w:val="0"/>
              <w:adjustRightInd w:val="0"/>
              <w:rPr>
                <w:rFonts w:ascii="Arial" w:eastAsiaTheme="minorHAnsi" w:hAnsi="Arial" w:cs="Arial"/>
                <w:b/>
                <w:bCs/>
                <w:color w:val="000000"/>
                <w:sz w:val="23"/>
                <w:szCs w:val="23"/>
                <w:lang w:eastAsia="en-US"/>
              </w:rPr>
            </w:pPr>
            <w:r w:rsidRPr="005747B0">
              <w:rPr>
                <w:rFonts w:ascii="Arial" w:eastAsiaTheme="minorHAnsi" w:hAnsi="Arial" w:cs="Arial"/>
                <w:color w:val="000000"/>
                <w:sz w:val="23"/>
                <w:szCs w:val="23"/>
                <w:lang w:eastAsia="en-US"/>
              </w:rPr>
              <w:t>This flowchart would be useful for the LA guidance.</w:t>
            </w:r>
          </w:p>
        </w:tc>
        <w:tc>
          <w:tcPr>
            <w:tcW w:w="5403" w:type="dxa"/>
          </w:tcPr>
          <w:p w14:paraId="61895671" w14:textId="5A27AF4F" w:rsidR="005747B0" w:rsidRPr="00033F05" w:rsidRDefault="00033F05" w:rsidP="009E529C">
            <w:pPr>
              <w:rPr>
                <w:rFonts w:ascii="Arial" w:hAnsi="Arial" w:cs="Arial"/>
                <w:b/>
                <w:sz w:val="24"/>
                <w:szCs w:val="24"/>
              </w:rPr>
            </w:pPr>
            <w:r w:rsidRPr="00033F05">
              <w:rPr>
                <w:rFonts w:ascii="Arial" w:hAnsi="Arial" w:cs="Arial"/>
                <w:b/>
                <w:sz w:val="24"/>
                <w:szCs w:val="24"/>
              </w:rPr>
              <w:t xml:space="preserve">C8. </w:t>
            </w:r>
            <w:r w:rsidR="004974DE">
              <w:rPr>
                <w:rFonts w:ascii="Arial" w:hAnsi="Arial" w:cs="Arial"/>
                <w:sz w:val="24"/>
                <w:szCs w:val="24"/>
              </w:rPr>
              <w:t>This comment has also been forwarded to the team responsible for the publication of the LA Guidance</w:t>
            </w:r>
          </w:p>
        </w:tc>
      </w:tr>
      <w:tr w:rsidR="005747B0" w:rsidRPr="00E25967" w14:paraId="41025E23" w14:textId="77777777" w:rsidTr="005747B0">
        <w:tc>
          <w:tcPr>
            <w:tcW w:w="2816" w:type="dxa"/>
            <w:tcBorders>
              <w:top w:val="nil"/>
              <w:bottom w:val="nil"/>
            </w:tcBorders>
          </w:tcPr>
          <w:p w14:paraId="0F680AE0" w14:textId="77777777" w:rsidR="005747B0" w:rsidRPr="00E25967" w:rsidRDefault="005747B0" w:rsidP="009E529C">
            <w:pPr>
              <w:rPr>
                <w:rFonts w:ascii="Arial" w:hAnsi="Arial" w:cs="Arial"/>
                <w:sz w:val="24"/>
                <w:szCs w:val="24"/>
              </w:rPr>
            </w:pPr>
          </w:p>
        </w:tc>
        <w:tc>
          <w:tcPr>
            <w:tcW w:w="1364" w:type="dxa"/>
            <w:tcBorders>
              <w:top w:val="nil"/>
              <w:bottom w:val="nil"/>
            </w:tcBorders>
          </w:tcPr>
          <w:p w14:paraId="2575FE9B" w14:textId="77777777" w:rsidR="005747B0" w:rsidRPr="00E25967" w:rsidRDefault="005747B0" w:rsidP="009E529C">
            <w:pPr>
              <w:rPr>
                <w:rFonts w:ascii="Arial" w:hAnsi="Arial" w:cs="Arial"/>
                <w:sz w:val="24"/>
                <w:szCs w:val="24"/>
              </w:rPr>
            </w:pPr>
          </w:p>
        </w:tc>
        <w:tc>
          <w:tcPr>
            <w:tcW w:w="4365" w:type="dxa"/>
          </w:tcPr>
          <w:p w14:paraId="3AB541DF" w14:textId="66DD835B" w:rsidR="005747B0" w:rsidRPr="005747B0" w:rsidRDefault="00033F05" w:rsidP="005747B0">
            <w:pPr>
              <w:autoSpaceDE w:val="0"/>
              <w:autoSpaceDN w:val="0"/>
              <w:adjustRightInd w:val="0"/>
              <w:rPr>
                <w:rFonts w:ascii="Arial" w:eastAsiaTheme="minorHAnsi" w:hAnsi="Arial" w:cs="Arial"/>
                <w:b/>
                <w:bCs/>
                <w:color w:val="000000"/>
                <w:sz w:val="24"/>
                <w:szCs w:val="24"/>
                <w:lang w:eastAsia="en-US"/>
              </w:rPr>
            </w:pPr>
            <w:r w:rsidRPr="00033F05">
              <w:rPr>
                <w:rFonts w:ascii="Arial" w:hAnsi="Arial" w:cs="Arial"/>
                <w:b/>
                <w:sz w:val="24"/>
                <w:szCs w:val="24"/>
              </w:rPr>
              <w:t>C9.</w:t>
            </w:r>
            <w:r>
              <w:rPr>
                <w:rFonts w:ascii="Arial" w:hAnsi="Arial" w:cs="Arial"/>
                <w:sz w:val="24"/>
                <w:szCs w:val="24"/>
              </w:rPr>
              <w:t xml:space="preserve"> </w:t>
            </w:r>
            <w:r w:rsidR="005747B0" w:rsidRPr="005747B0">
              <w:rPr>
                <w:rFonts w:ascii="Arial" w:hAnsi="Arial" w:cs="Arial"/>
                <w:sz w:val="24"/>
                <w:szCs w:val="24"/>
              </w:rPr>
              <w:t>In light of recent food fraud incidents the Panel suggests that matters relating to food standards such as labelling should be considered at the approval stage.</w:t>
            </w:r>
          </w:p>
        </w:tc>
        <w:tc>
          <w:tcPr>
            <w:tcW w:w="5403" w:type="dxa"/>
          </w:tcPr>
          <w:p w14:paraId="15F24095" w14:textId="77777777" w:rsidR="005747B0" w:rsidRDefault="00033F05" w:rsidP="009E529C">
            <w:pPr>
              <w:rPr>
                <w:rFonts w:ascii="Arial" w:hAnsi="Arial" w:cs="Arial"/>
                <w:sz w:val="24"/>
                <w:szCs w:val="24"/>
              </w:rPr>
            </w:pPr>
            <w:r w:rsidRPr="00033F05">
              <w:rPr>
                <w:rFonts w:ascii="Arial" w:hAnsi="Arial" w:cs="Arial"/>
                <w:b/>
                <w:sz w:val="24"/>
                <w:szCs w:val="24"/>
              </w:rPr>
              <w:t>C9</w:t>
            </w:r>
            <w:r>
              <w:rPr>
                <w:rFonts w:ascii="Arial" w:hAnsi="Arial" w:cs="Arial"/>
                <w:sz w:val="24"/>
                <w:szCs w:val="24"/>
              </w:rPr>
              <w:t xml:space="preserve">. </w:t>
            </w:r>
            <w:r w:rsidR="005747B0">
              <w:rPr>
                <w:rFonts w:ascii="Arial" w:hAnsi="Arial" w:cs="Arial"/>
                <w:sz w:val="24"/>
                <w:szCs w:val="24"/>
              </w:rPr>
              <w:t xml:space="preserve">The approval process does require </w:t>
            </w:r>
            <w:r>
              <w:rPr>
                <w:rFonts w:ascii="Arial" w:hAnsi="Arial" w:cs="Arial"/>
                <w:sz w:val="24"/>
                <w:szCs w:val="24"/>
              </w:rPr>
              <w:t xml:space="preserve">the food business operator to demonstrate compliance with all relevant requirements of food law. </w:t>
            </w:r>
            <w:r w:rsidR="008B42EC">
              <w:rPr>
                <w:rFonts w:ascii="Arial" w:hAnsi="Arial" w:cs="Arial"/>
                <w:sz w:val="24"/>
                <w:szCs w:val="24"/>
              </w:rPr>
              <w:t xml:space="preserve">The relevant requirements would include all those for which the FSA are the competent authority. </w:t>
            </w:r>
          </w:p>
          <w:p w14:paraId="5E7E9ADC" w14:textId="77777777" w:rsidR="008B42EC" w:rsidRDefault="008B42EC" w:rsidP="009E529C">
            <w:pPr>
              <w:rPr>
                <w:rFonts w:ascii="Arial" w:hAnsi="Arial" w:cs="Arial"/>
                <w:sz w:val="24"/>
                <w:szCs w:val="24"/>
              </w:rPr>
            </w:pPr>
          </w:p>
          <w:p w14:paraId="0C8F7FD8" w14:textId="32AAE812" w:rsidR="008B42EC" w:rsidRDefault="008B42EC" w:rsidP="008B42EC">
            <w:pPr>
              <w:pStyle w:val="Default"/>
            </w:pPr>
            <w:r>
              <w:lastRenderedPageBreak/>
              <w:t>The Cutting Plant and Cold Store Review (Oct 2018) includes the recommendation</w:t>
            </w:r>
          </w:p>
          <w:p w14:paraId="0C38D209" w14:textId="77777777" w:rsidR="008B42EC" w:rsidRPr="008B42EC" w:rsidRDefault="008B42EC" w:rsidP="008B42EC">
            <w:pPr>
              <w:pStyle w:val="Default"/>
            </w:pPr>
          </w:p>
          <w:p w14:paraId="782831DF" w14:textId="7ADE4A14" w:rsidR="008B42EC" w:rsidRDefault="008B42EC" w:rsidP="008B42EC">
            <w:pPr>
              <w:autoSpaceDE w:val="0"/>
              <w:autoSpaceDN w:val="0"/>
              <w:adjustRightInd w:val="0"/>
              <w:rPr>
                <w:rFonts w:ascii="Arial" w:eastAsiaTheme="minorHAnsi" w:hAnsi="Arial" w:cs="Arial"/>
                <w:i/>
                <w:iCs/>
                <w:color w:val="000000"/>
                <w:sz w:val="23"/>
                <w:szCs w:val="23"/>
                <w:lang w:eastAsia="en-US"/>
              </w:rPr>
            </w:pPr>
            <w:r w:rsidRPr="008B42EC">
              <w:rPr>
                <w:rFonts w:ascii="Arial" w:eastAsiaTheme="minorHAnsi" w:hAnsi="Arial" w:cs="Arial"/>
                <w:i/>
                <w:iCs/>
                <w:color w:val="000000"/>
                <w:sz w:val="23"/>
                <w:szCs w:val="23"/>
                <w:lang w:eastAsia="en-US"/>
              </w:rPr>
              <w:t xml:space="preserve">Inviting a small, representative number of LAs to participate in a trial to evaluate the use of single organisation to deliver all Official Controls in a geographic location. </w:t>
            </w:r>
          </w:p>
          <w:p w14:paraId="3CCCE4EA" w14:textId="1B76C465" w:rsidR="008B42EC" w:rsidRDefault="008B42EC" w:rsidP="008B42EC">
            <w:pPr>
              <w:autoSpaceDE w:val="0"/>
              <w:autoSpaceDN w:val="0"/>
              <w:adjustRightInd w:val="0"/>
              <w:rPr>
                <w:rFonts w:ascii="Arial" w:eastAsiaTheme="minorHAnsi" w:hAnsi="Arial" w:cs="Arial"/>
                <w:i/>
                <w:iCs/>
                <w:color w:val="000000"/>
                <w:sz w:val="23"/>
                <w:szCs w:val="23"/>
                <w:lang w:eastAsia="en-US"/>
              </w:rPr>
            </w:pPr>
          </w:p>
          <w:p w14:paraId="365912EF" w14:textId="11D860E8" w:rsidR="008B42EC" w:rsidRPr="008B42EC" w:rsidRDefault="008B42EC" w:rsidP="008B42EC">
            <w:pPr>
              <w:autoSpaceDE w:val="0"/>
              <w:autoSpaceDN w:val="0"/>
              <w:adjustRightInd w:val="0"/>
              <w:rPr>
                <w:rFonts w:ascii="Arial" w:hAnsi="Arial" w:cs="Arial"/>
                <w:sz w:val="24"/>
                <w:szCs w:val="24"/>
              </w:rPr>
            </w:pPr>
            <w:r w:rsidRPr="008B42EC">
              <w:rPr>
                <w:rFonts w:ascii="Arial" w:eastAsiaTheme="minorHAnsi" w:hAnsi="Arial" w:cs="Arial"/>
                <w:iCs/>
                <w:color w:val="000000"/>
                <w:sz w:val="23"/>
                <w:szCs w:val="23"/>
                <w:lang w:eastAsia="en-US"/>
              </w:rPr>
              <w:t>By removing the multiple</w:t>
            </w:r>
            <w:r w:rsidRPr="008B42EC">
              <w:rPr>
                <w:rFonts w:ascii="Arial" w:hAnsi="Arial" w:cs="Arial"/>
                <w:sz w:val="24"/>
                <w:szCs w:val="24"/>
              </w:rPr>
              <w:t xml:space="preserve"> </w:t>
            </w:r>
            <w:r>
              <w:rPr>
                <w:rFonts w:ascii="Arial" w:hAnsi="Arial" w:cs="Arial"/>
                <w:sz w:val="24"/>
                <w:szCs w:val="24"/>
              </w:rPr>
              <w:t xml:space="preserve">competent authorities and as such this suggestion could be incorporated into that process. </w:t>
            </w:r>
          </w:p>
          <w:p w14:paraId="56ACDF61" w14:textId="194CC7B2" w:rsidR="008B42EC" w:rsidRPr="00E25967" w:rsidRDefault="008B42EC" w:rsidP="009E529C">
            <w:pPr>
              <w:rPr>
                <w:rFonts w:ascii="Arial" w:hAnsi="Arial" w:cs="Arial"/>
                <w:sz w:val="24"/>
                <w:szCs w:val="24"/>
              </w:rPr>
            </w:pPr>
          </w:p>
        </w:tc>
      </w:tr>
      <w:tr w:rsidR="005747B0" w:rsidRPr="00E25967" w14:paraId="3FE0957A" w14:textId="77777777" w:rsidTr="005747B0">
        <w:tc>
          <w:tcPr>
            <w:tcW w:w="2816" w:type="dxa"/>
            <w:tcBorders>
              <w:top w:val="nil"/>
              <w:bottom w:val="nil"/>
            </w:tcBorders>
          </w:tcPr>
          <w:p w14:paraId="5EF6A48C" w14:textId="77777777" w:rsidR="005747B0" w:rsidRPr="00E25967" w:rsidRDefault="005747B0" w:rsidP="009E529C">
            <w:pPr>
              <w:rPr>
                <w:rFonts w:ascii="Arial" w:hAnsi="Arial" w:cs="Arial"/>
                <w:sz w:val="24"/>
                <w:szCs w:val="24"/>
              </w:rPr>
            </w:pPr>
          </w:p>
        </w:tc>
        <w:tc>
          <w:tcPr>
            <w:tcW w:w="1364" w:type="dxa"/>
            <w:tcBorders>
              <w:top w:val="nil"/>
              <w:bottom w:val="nil"/>
            </w:tcBorders>
          </w:tcPr>
          <w:p w14:paraId="3713889E" w14:textId="77777777" w:rsidR="005747B0" w:rsidRPr="00E25967" w:rsidRDefault="005747B0" w:rsidP="009E529C">
            <w:pPr>
              <w:rPr>
                <w:rFonts w:ascii="Arial" w:hAnsi="Arial" w:cs="Arial"/>
                <w:sz w:val="24"/>
                <w:szCs w:val="24"/>
              </w:rPr>
            </w:pPr>
          </w:p>
        </w:tc>
        <w:tc>
          <w:tcPr>
            <w:tcW w:w="4365" w:type="dxa"/>
            <w:vMerge w:val="restart"/>
          </w:tcPr>
          <w:p w14:paraId="036CF59C" w14:textId="2E2E1C78" w:rsidR="005747B0" w:rsidRPr="005747B0" w:rsidRDefault="00033F05" w:rsidP="005747B0">
            <w:pPr>
              <w:autoSpaceDE w:val="0"/>
              <w:autoSpaceDN w:val="0"/>
              <w:adjustRightInd w:val="0"/>
              <w:rPr>
                <w:rFonts w:ascii="Arial" w:eastAsiaTheme="minorHAnsi" w:hAnsi="Arial" w:cs="Arial"/>
                <w:bCs/>
                <w:color w:val="000000"/>
                <w:sz w:val="24"/>
                <w:szCs w:val="24"/>
                <w:lang w:eastAsia="en-US"/>
              </w:rPr>
            </w:pPr>
            <w:r w:rsidRPr="00033F05">
              <w:rPr>
                <w:rFonts w:ascii="Arial" w:hAnsi="Arial" w:cs="Arial"/>
                <w:b/>
                <w:bCs/>
                <w:sz w:val="24"/>
                <w:szCs w:val="24"/>
              </w:rPr>
              <w:t>C10</w:t>
            </w:r>
            <w:r>
              <w:rPr>
                <w:rFonts w:ascii="Arial" w:hAnsi="Arial" w:cs="Arial"/>
                <w:bCs/>
                <w:sz w:val="24"/>
                <w:szCs w:val="24"/>
              </w:rPr>
              <w:t xml:space="preserve">. </w:t>
            </w:r>
            <w:r w:rsidR="005747B0" w:rsidRPr="005747B0">
              <w:rPr>
                <w:rFonts w:ascii="Arial" w:hAnsi="Arial" w:cs="Arial"/>
                <w:bCs/>
                <w:sz w:val="24"/>
                <w:szCs w:val="24"/>
              </w:rPr>
              <w:t>The Panel are of the opinion that as both FSA and LAs have the responsibility for dealing with approved premises there should be one set of guidance. This would ensure consistency of enforcement and a level playing field for business. It is imperative with EU exit on the horizon that the UK is able to demonstrate that the food it produces is of a standard acceptable in the global market and the system is able to respond to international scrutiny.</w:t>
            </w:r>
          </w:p>
        </w:tc>
        <w:tc>
          <w:tcPr>
            <w:tcW w:w="5403" w:type="dxa"/>
            <w:vMerge w:val="restart"/>
          </w:tcPr>
          <w:p w14:paraId="06171DD8" w14:textId="698D173E" w:rsidR="005747B0" w:rsidRPr="00033F05" w:rsidRDefault="00033F05" w:rsidP="009E529C">
            <w:pPr>
              <w:rPr>
                <w:rFonts w:ascii="Arial" w:hAnsi="Arial" w:cs="Arial"/>
                <w:b/>
                <w:sz w:val="24"/>
                <w:szCs w:val="24"/>
              </w:rPr>
            </w:pPr>
            <w:r w:rsidRPr="00033F05">
              <w:rPr>
                <w:rFonts w:ascii="Arial" w:hAnsi="Arial" w:cs="Arial"/>
                <w:b/>
                <w:sz w:val="24"/>
                <w:szCs w:val="24"/>
              </w:rPr>
              <w:t xml:space="preserve">C10. </w:t>
            </w:r>
            <w:r w:rsidR="004974DE" w:rsidRPr="004974DE">
              <w:rPr>
                <w:rFonts w:ascii="Arial" w:hAnsi="Arial" w:cs="Arial"/>
                <w:sz w:val="24"/>
                <w:szCs w:val="24"/>
              </w:rPr>
              <w:t xml:space="preserve">The </w:t>
            </w:r>
            <w:r w:rsidR="004974DE">
              <w:rPr>
                <w:rFonts w:ascii="Arial" w:hAnsi="Arial" w:cs="Arial"/>
                <w:sz w:val="24"/>
                <w:szCs w:val="24"/>
              </w:rPr>
              <w:t xml:space="preserve">two </w:t>
            </w:r>
            <w:r w:rsidR="004974DE" w:rsidRPr="004974DE">
              <w:rPr>
                <w:rFonts w:ascii="Arial" w:hAnsi="Arial" w:cs="Arial"/>
                <w:sz w:val="24"/>
                <w:szCs w:val="24"/>
              </w:rPr>
              <w:t>document</w:t>
            </w:r>
            <w:r w:rsidR="004974DE">
              <w:rPr>
                <w:rFonts w:ascii="Arial" w:hAnsi="Arial" w:cs="Arial"/>
                <w:sz w:val="24"/>
                <w:szCs w:val="24"/>
              </w:rPr>
              <w:t xml:space="preserve">s were originally produced with different audiences in mind. One is clearly a guidance document instructing LA Officers whereas the other has additional focus on the requirements on slaughterhouses operations and is directed towards slaughterhouse and cutting plant operations. However, this has raised some unintended areas of inconsistency and as such this suggestion will be taken forward for further consideration. </w:t>
            </w:r>
          </w:p>
        </w:tc>
      </w:tr>
      <w:tr w:rsidR="005747B0" w:rsidRPr="00E25967" w14:paraId="1974AB0D" w14:textId="77777777" w:rsidTr="005747B0">
        <w:tc>
          <w:tcPr>
            <w:tcW w:w="2816" w:type="dxa"/>
            <w:tcBorders>
              <w:top w:val="nil"/>
            </w:tcBorders>
          </w:tcPr>
          <w:p w14:paraId="4D6CDF1E" w14:textId="73EE525F" w:rsidR="005747B0" w:rsidRPr="00E25967" w:rsidRDefault="005747B0" w:rsidP="009E529C">
            <w:pPr>
              <w:rPr>
                <w:rFonts w:ascii="Arial" w:hAnsi="Arial" w:cs="Arial"/>
                <w:sz w:val="24"/>
                <w:szCs w:val="24"/>
              </w:rPr>
            </w:pPr>
          </w:p>
        </w:tc>
        <w:tc>
          <w:tcPr>
            <w:tcW w:w="1364" w:type="dxa"/>
            <w:tcBorders>
              <w:top w:val="nil"/>
            </w:tcBorders>
          </w:tcPr>
          <w:p w14:paraId="64B85A89" w14:textId="77777777" w:rsidR="005747B0" w:rsidRPr="00E25967" w:rsidRDefault="005747B0" w:rsidP="009E529C">
            <w:pPr>
              <w:rPr>
                <w:rFonts w:ascii="Arial" w:hAnsi="Arial" w:cs="Arial"/>
                <w:sz w:val="24"/>
                <w:szCs w:val="24"/>
              </w:rPr>
            </w:pPr>
          </w:p>
        </w:tc>
        <w:tc>
          <w:tcPr>
            <w:tcW w:w="4365" w:type="dxa"/>
            <w:vMerge/>
          </w:tcPr>
          <w:p w14:paraId="0F763568" w14:textId="4AFC21AA" w:rsidR="005747B0" w:rsidRPr="00E25967" w:rsidRDefault="005747B0" w:rsidP="00132B2E">
            <w:pPr>
              <w:pStyle w:val="ListParagraph"/>
              <w:spacing w:after="0"/>
              <w:ind w:left="323" w:hanging="323"/>
              <w:rPr>
                <w:szCs w:val="24"/>
              </w:rPr>
            </w:pPr>
          </w:p>
        </w:tc>
        <w:tc>
          <w:tcPr>
            <w:tcW w:w="5403" w:type="dxa"/>
            <w:vMerge/>
          </w:tcPr>
          <w:p w14:paraId="44EB7F05" w14:textId="66710DF4" w:rsidR="005747B0" w:rsidRPr="00E25967" w:rsidRDefault="005747B0" w:rsidP="008D14A4">
            <w:pPr>
              <w:rPr>
                <w:rFonts w:ascii="Arial" w:hAnsi="Arial" w:cs="Arial"/>
                <w:sz w:val="24"/>
                <w:szCs w:val="24"/>
              </w:rPr>
            </w:pPr>
          </w:p>
        </w:tc>
      </w:tr>
    </w:tbl>
    <w:p w14:paraId="7591F469" w14:textId="77777777" w:rsidR="00E25967" w:rsidRDefault="00E25967"/>
    <w:tbl>
      <w:tblPr>
        <w:tblStyle w:val="TableGrid"/>
        <w:tblW w:w="13948" w:type="dxa"/>
        <w:tblLook w:val="04A0" w:firstRow="1" w:lastRow="0" w:firstColumn="1" w:lastColumn="0" w:noHBand="0" w:noVBand="1"/>
      </w:tblPr>
      <w:tblGrid>
        <w:gridCol w:w="2816"/>
        <w:gridCol w:w="1364"/>
        <w:gridCol w:w="4364"/>
        <w:gridCol w:w="5404"/>
      </w:tblGrid>
      <w:tr w:rsidR="006E744C" w:rsidRPr="00E25967" w14:paraId="63E41D6F" w14:textId="77777777" w:rsidTr="006E744C">
        <w:tc>
          <w:tcPr>
            <w:tcW w:w="2816" w:type="dxa"/>
            <w:tcBorders>
              <w:bottom w:val="single" w:sz="4" w:space="0" w:color="auto"/>
            </w:tcBorders>
            <w:shd w:val="clear" w:color="auto" w:fill="BFBFBF" w:themeFill="background1" w:themeFillShade="BF"/>
          </w:tcPr>
          <w:p w14:paraId="7B5A582D" w14:textId="77777777" w:rsidR="00E25967" w:rsidRPr="00E25967" w:rsidRDefault="00E25967" w:rsidP="00033F05">
            <w:pPr>
              <w:jc w:val="center"/>
              <w:rPr>
                <w:rFonts w:ascii="Arial" w:hAnsi="Arial" w:cs="Arial"/>
                <w:b/>
                <w:sz w:val="24"/>
                <w:szCs w:val="24"/>
              </w:rPr>
            </w:pPr>
            <w:r w:rsidRPr="00E25967">
              <w:rPr>
                <w:rFonts w:ascii="Arial" w:hAnsi="Arial" w:cs="Arial"/>
                <w:b/>
                <w:sz w:val="24"/>
                <w:szCs w:val="24"/>
              </w:rPr>
              <w:t>Respondent</w:t>
            </w:r>
          </w:p>
        </w:tc>
        <w:tc>
          <w:tcPr>
            <w:tcW w:w="1364" w:type="dxa"/>
            <w:tcBorders>
              <w:bottom w:val="single" w:sz="4" w:space="0" w:color="auto"/>
            </w:tcBorders>
            <w:shd w:val="clear" w:color="auto" w:fill="BFBFBF" w:themeFill="background1" w:themeFillShade="BF"/>
          </w:tcPr>
          <w:p w14:paraId="53F5B640" w14:textId="77777777" w:rsidR="00E25967" w:rsidRPr="00E25967" w:rsidRDefault="00E25967" w:rsidP="00033F05">
            <w:pPr>
              <w:jc w:val="center"/>
              <w:rPr>
                <w:rFonts w:ascii="Arial" w:hAnsi="Arial" w:cs="Arial"/>
                <w:b/>
                <w:sz w:val="24"/>
                <w:szCs w:val="24"/>
              </w:rPr>
            </w:pPr>
            <w:r w:rsidRPr="00E25967">
              <w:rPr>
                <w:rFonts w:ascii="Arial" w:hAnsi="Arial" w:cs="Arial"/>
                <w:b/>
                <w:sz w:val="24"/>
                <w:szCs w:val="24"/>
              </w:rPr>
              <w:t>Method of Response</w:t>
            </w:r>
          </w:p>
        </w:tc>
        <w:tc>
          <w:tcPr>
            <w:tcW w:w="4364" w:type="dxa"/>
            <w:shd w:val="clear" w:color="auto" w:fill="BFBFBF" w:themeFill="background1" w:themeFillShade="BF"/>
          </w:tcPr>
          <w:p w14:paraId="145D917D" w14:textId="77777777" w:rsidR="00E25967" w:rsidRPr="00E25967" w:rsidRDefault="00E25967" w:rsidP="00033F05">
            <w:pPr>
              <w:jc w:val="center"/>
              <w:rPr>
                <w:rFonts w:ascii="Arial" w:hAnsi="Arial" w:cs="Arial"/>
                <w:b/>
                <w:sz w:val="24"/>
                <w:szCs w:val="24"/>
              </w:rPr>
            </w:pPr>
            <w:r w:rsidRPr="00E25967">
              <w:rPr>
                <w:rFonts w:ascii="Arial" w:hAnsi="Arial" w:cs="Arial"/>
                <w:b/>
                <w:sz w:val="24"/>
                <w:szCs w:val="24"/>
              </w:rPr>
              <w:t>Comment</w:t>
            </w:r>
          </w:p>
        </w:tc>
        <w:tc>
          <w:tcPr>
            <w:tcW w:w="5404" w:type="dxa"/>
            <w:shd w:val="clear" w:color="auto" w:fill="BFBFBF" w:themeFill="background1" w:themeFillShade="BF"/>
          </w:tcPr>
          <w:p w14:paraId="64A332E3" w14:textId="77777777" w:rsidR="00E25967" w:rsidRPr="00E25967" w:rsidRDefault="00E25967" w:rsidP="00033F05">
            <w:pPr>
              <w:jc w:val="center"/>
              <w:rPr>
                <w:rFonts w:ascii="Arial" w:hAnsi="Arial" w:cs="Arial"/>
                <w:b/>
                <w:sz w:val="24"/>
                <w:szCs w:val="24"/>
              </w:rPr>
            </w:pPr>
            <w:r w:rsidRPr="00E25967">
              <w:rPr>
                <w:rFonts w:ascii="Arial" w:hAnsi="Arial" w:cs="Arial"/>
                <w:b/>
                <w:sz w:val="24"/>
                <w:szCs w:val="24"/>
              </w:rPr>
              <w:t>Response</w:t>
            </w:r>
          </w:p>
        </w:tc>
      </w:tr>
      <w:tr w:rsidR="006E744C" w:rsidRPr="00E25967" w14:paraId="013AA0D6" w14:textId="77777777" w:rsidTr="006E744C">
        <w:tc>
          <w:tcPr>
            <w:tcW w:w="2816" w:type="dxa"/>
            <w:tcBorders>
              <w:bottom w:val="nil"/>
            </w:tcBorders>
          </w:tcPr>
          <w:p w14:paraId="414A058A" w14:textId="06931BC4" w:rsidR="00E25967" w:rsidRPr="00E25967" w:rsidRDefault="00E25967" w:rsidP="00033F05">
            <w:pPr>
              <w:rPr>
                <w:rFonts w:ascii="Arial" w:hAnsi="Arial" w:cs="Arial"/>
                <w:sz w:val="24"/>
                <w:szCs w:val="24"/>
              </w:rPr>
            </w:pPr>
            <w:r>
              <w:rPr>
                <w:rFonts w:ascii="Arial" w:hAnsi="Arial" w:cs="Arial"/>
                <w:sz w:val="24"/>
                <w:szCs w:val="24"/>
              </w:rPr>
              <w:t>Partnership Working Group</w:t>
            </w:r>
          </w:p>
        </w:tc>
        <w:tc>
          <w:tcPr>
            <w:tcW w:w="1364" w:type="dxa"/>
            <w:tcBorders>
              <w:bottom w:val="nil"/>
            </w:tcBorders>
          </w:tcPr>
          <w:p w14:paraId="4FC34D48" w14:textId="564A4F27" w:rsidR="00E25967" w:rsidRPr="00E25967" w:rsidRDefault="00E25967" w:rsidP="00033F05">
            <w:pPr>
              <w:rPr>
                <w:rFonts w:ascii="Arial" w:hAnsi="Arial" w:cs="Arial"/>
                <w:sz w:val="24"/>
                <w:szCs w:val="24"/>
              </w:rPr>
            </w:pPr>
            <w:r>
              <w:rPr>
                <w:rFonts w:ascii="Arial" w:hAnsi="Arial" w:cs="Arial"/>
                <w:sz w:val="24"/>
                <w:szCs w:val="24"/>
              </w:rPr>
              <w:t>Ver</w:t>
            </w:r>
            <w:r w:rsidR="00F2358A">
              <w:rPr>
                <w:rFonts w:ascii="Arial" w:hAnsi="Arial" w:cs="Arial"/>
                <w:sz w:val="24"/>
                <w:szCs w:val="24"/>
              </w:rPr>
              <w:t>b</w:t>
            </w:r>
            <w:r>
              <w:rPr>
                <w:rFonts w:ascii="Arial" w:hAnsi="Arial" w:cs="Arial"/>
                <w:sz w:val="24"/>
                <w:szCs w:val="24"/>
              </w:rPr>
              <w:t>al</w:t>
            </w:r>
          </w:p>
        </w:tc>
        <w:tc>
          <w:tcPr>
            <w:tcW w:w="4364" w:type="dxa"/>
          </w:tcPr>
          <w:p w14:paraId="1278AE4F" w14:textId="1D70F0C3" w:rsidR="00E25967" w:rsidRPr="00E25967" w:rsidRDefault="00A75D1A" w:rsidP="00F2358A">
            <w:pPr>
              <w:pStyle w:val="ListParagraph"/>
              <w:spacing w:after="0"/>
              <w:ind w:left="0"/>
              <w:rPr>
                <w:szCs w:val="24"/>
              </w:rPr>
            </w:pPr>
            <w:r w:rsidRPr="00EF710C">
              <w:rPr>
                <w:b/>
                <w:szCs w:val="24"/>
              </w:rPr>
              <w:t>D1.</w:t>
            </w:r>
            <w:r>
              <w:rPr>
                <w:szCs w:val="24"/>
              </w:rPr>
              <w:t xml:space="preserve"> </w:t>
            </w:r>
            <w:r w:rsidR="00E25967">
              <w:rPr>
                <w:szCs w:val="24"/>
              </w:rPr>
              <w:t xml:space="preserve">Why is CCTV </w:t>
            </w:r>
            <w:r w:rsidR="00F2358A">
              <w:rPr>
                <w:szCs w:val="24"/>
              </w:rPr>
              <w:t>being dealt with differently to other non-compliances in being considered a serious deficiency</w:t>
            </w:r>
          </w:p>
        </w:tc>
        <w:tc>
          <w:tcPr>
            <w:tcW w:w="5404" w:type="dxa"/>
          </w:tcPr>
          <w:p w14:paraId="3AC3B66F" w14:textId="7B9C9983" w:rsidR="00E25967" w:rsidRPr="00E25967" w:rsidRDefault="00A75D1A" w:rsidP="00033F05">
            <w:pPr>
              <w:rPr>
                <w:rFonts w:ascii="Arial" w:hAnsi="Arial" w:cs="Arial"/>
                <w:sz w:val="24"/>
                <w:szCs w:val="24"/>
              </w:rPr>
            </w:pPr>
            <w:r w:rsidRPr="00EF710C">
              <w:rPr>
                <w:rFonts w:ascii="Arial" w:hAnsi="Arial" w:cs="Arial"/>
                <w:b/>
                <w:sz w:val="24"/>
                <w:szCs w:val="24"/>
              </w:rPr>
              <w:t>D1</w:t>
            </w:r>
            <w:r>
              <w:rPr>
                <w:rFonts w:ascii="Arial" w:hAnsi="Arial" w:cs="Arial"/>
                <w:sz w:val="24"/>
                <w:szCs w:val="24"/>
              </w:rPr>
              <w:t xml:space="preserve">. </w:t>
            </w:r>
            <w:r w:rsidR="00EB44F2">
              <w:rPr>
                <w:rFonts w:ascii="Arial" w:hAnsi="Arial" w:cs="Arial"/>
                <w:sz w:val="24"/>
                <w:szCs w:val="24"/>
              </w:rPr>
              <w:t>The policy document provides non</w:t>
            </w:r>
            <w:r w:rsidR="0060567C">
              <w:rPr>
                <w:rFonts w:ascii="Arial" w:hAnsi="Arial" w:cs="Arial"/>
                <w:sz w:val="24"/>
                <w:szCs w:val="24"/>
              </w:rPr>
              <w:t>-</w:t>
            </w:r>
            <w:r w:rsidR="00EB44F2">
              <w:rPr>
                <w:rFonts w:ascii="Arial" w:hAnsi="Arial" w:cs="Arial"/>
                <w:sz w:val="24"/>
                <w:szCs w:val="24"/>
              </w:rPr>
              <w:t>exhaustive examples of non-compliances which could be considered as serious deficiencies</w:t>
            </w:r>
            <w:r w:rsidR="0060567C">
              <w:rPr>
                <w:rFonts w:ascii="Arial" w:hAnsi="Arial" w:cs="Arial"/>
                <w:sz w:val="24"/>
                <w:szCs w:val="24"/>
              </w:rPr>
              <w:t>, d</w:t>
            </w:r>
            <w:r w:rsidR="006E744C">
              <w:rPr>
                <w:rFonts w:ascii="Arial" w:hAnsi="Arial" w:cs="Arial"/>
                <w:sz w:val="24"/>
                <w:szCs w:val="24"/>
              </w:rPr>
              <w:t>e</w:t>
            </w:r>
            <w:r w:rsidR="0060567C">
              <w:rPr>
                <w:rFonts w:ascii="Arial" w:hAnsi="Arial" w:cs="Arial"/>
                <w:sz w:val="24"/>
                <w:szCs w:val="24"/>
              </w:rPr>
              <w:t>pending on the severity</w:t>
            </w:r>
            <w:r w:rsidR="00EB44F2">
              <w:rPr>
                <w:rFonts w:ascii="Arial" w:hAnsi="Arial" w:cs="Arial"/>
                <w:sz w:val="24"/>
                <w:szCs w:val="24"/>
              </w:rPr>
              <w:t xml:space="preserve">. Non-compliance with </w:t>
            </w:r>
            <w:r w:rsidR="00EB44F2">
              <w:rPr>
                <w:rFonts w:ascii="Arial" w:hAnsi="Arial" w:cs="Arial"/>
                <w:sz w:val="24"/>
                <w:szCs w:val="24"/>
              </w:rPr>
              <w:lastRenderedPageBreak/>
              <w:t xml:space="preserve">the CCTV </w:t>
            </w:r>
            <w:r w:rsidR="0060567C">
              <w:rPr>
                <w:rFonts w:ascii="Arial" w:hAnsi="Arial" w:cs="Arial"/>
                <w:sz w:val="24"/>
                <w:szCs w:val="24"/>
              </w:rPr>
              <w:t xml:space="preserve">is therefore being treated in the same way as other requirements for which the FSA is the competent authority. </w:t>
            </w:r>
          </w:p>
        </w:tc>
      </w:tr>
      <w:tr w:rsidR="00A75D1A" w:rsidRPr="00E25967" w14:paraId="100211D6" w14:textId="77777777" w:rsidTr="006E744C">
        <w:tc>
          <w:tcPr>
            <w:tcW w:w="2816" w:type="dxa"/>
            <w:tcBorders>
              <w:top w:val="nil"/>
              <w:bottom w:val="nil"/>
            </w:tcBorders>
          </w:tcPr>
          <w:p w14:paraId="4138E36B" w14:textId="77777777" w:rsidR="00A75D1A" w:rsidRPr="00E25967" w:rsidRDefault="00A75D1A" w:rsidP="00033F05">
            <w:pPr>
              <w:rPr>
                <w:rFonts w:ascii="Arial" w:hAnsi="Arial" w:cs="Arial"/>
                <w:sz w:val="24"/>
                <w:szCs w:val="24"/>
              </w:rPr>
            </w:pPr>
          </w:p>
        </w:tc>
        <w:tc>
          <w:tcPr>
            <w:tcW w:w="1364" w:type="dxa"/>
            <w:tcBorders>
              <w:top w:val="nil"/>
              <w:bottom w:val="nil"/>
            </w:tcBorders>
          </w:tcPr>
          <w:p w14:paraId="3E796A1F" w14:textId="77777777" w:rsidR="00A75D1A" w:rsidRPr="00E25967" w:rsidRDefault="00A75D1A" w:rsidP="00033F05">
            <w:pPr>
              <w:rPr>
                <w:rFonts w:ascii="Arial" w:hAnsi="Arial" w:cs="Arial"/>
                <w:sz w:val="24"/>
                <w:szCs w:val="24"/>
              </w:rPr>
            </w:pPr>
          </w:p>
        </w:tc>
        <w:tc>
          <w:tcPr>
            <w:tcW w:w="4364" w:type="dxa"/>
            <w:vMerge w:val="restart"/>
          </w:tcPr>
          <w:p w14:paraId="52E8FBEE" w14:textId="6C2AF535" w:rsidR="00A75D1A" w:rsidRPr="00E25967" w:rsidRDefault="00A75D1A" w:rsidP="00F2358A">
            <w:pPr>
              <w:ind w:left="73"/>
              <w:rPr>
                <w:rFonts w:ascii="Arial" w:hAnsi="Arial" w:cs="Arial"/>
                <w:sz w:val="24"/>
                <w:szCs w:val="24"/>
              </w:rPr>
            </w:pPr>
            <w:r w:rsidRPr="00EF710C">
              <w:rPr>
                <w:rFonts w:ascii="Arial" w:hAnsi="Arial" w:cs="Arial"/>
                <w:b/>
                <w:sz w:val="24"/>
                <w:szCs w:val="24"/>
              </w:rPr>
              <w:t>D2</w:t>
            </w:r>
            <w:r>
              <w:rPr>
                <w:rFonts w:ascii="Arial" w:hAnsi="Arial" w:cs="Arial"/>
                <w:sz w:val="24"/>
                <w:szCs w:val="24"/>
              </w:rPr>
              <w:t xml:space="preserve">. It is natural justice to await a prosecution before instigating a withdrawal of approval. If a food business operator is trying to comply with the CCTV requirements but an Official Veterinarian is not satisfied with the CCTV coverage it is unfair for this to potentially result in a withdrawal of approval for what may be a disagreement. </w:t>
            </w:r>
          </w:p>
        </w:tc>
        <w:tc>
          <w:tcPr>
            <w:tcW w:w="5404" w:type="dxa"/>
            <w:vMerge w:val="restart"/>
          </w:tcPr>
          <w:p w14:paraId="3429C739" w14:textId="64FDFE28" w:rsidR="00A75D1A" w:rsidRDefault="00A75D1A" w:rsidP="00033F05">
            <w:pPr>
              <w:rPr>
                <w:rFonts w:ascii="Arial" w:hAnsi="Arial" w:cs="Arial"/>
                <w:sz w:val="24"/>
                <w:szCs w:val="24"/>
              </w:rPr>
            </w:pPr>
            <w:r w:rsidRPr="00EF710C">
              <w:rPr>
                <w:rFonts w:ascii="Arial" w:hAnsi="Arial" w:cs="Arial"/>
                <w:b/>
                <w:sz w:val="24"/>
                <w:szCs w:val="24"/>
              </w:rPr>
              <w:t>D2</w:t>
            </w:r>
            <w:r>
              <w:rPr>
                <w:rFonts w:ascii="Arial" w:hAnsi="Arial" w:cs="Arial"/>
                <w:sz w:val="24"/>
                <w:szCs w:val="24"/>
              </w:rPr>
              <w:t xml:space="preserve">. </w:t>
            </w:r>
            <w:r w:rsidRPr="00A75D1A">
              <w:rPr>
                <w:rFonts w:ascii="Arial" w:hAnsi="Arial" w:cs="Arial"/>
                <w:sz w:val="24"/>
                <w:szCs w:val="24"/>
              </w:rPr>
              <w:t xml:space="preserve">The process for keeping establishments under review is described in regulations as, </w:t>
            </w:r>
          </w:p>
          <w:p w14:paraId="4CE74C26" w14:textId="77777777" w:rsidR="00A75D1A" w:rsidRPr="00A75D1A" w:rsidRDefault="00A75D1A" w:rsidP="00033F05">
            <w:pPr>
              <w:rPr>
                <w:rFonts w:ascii="Arial" w:hAnsi="Arial" w:cs="Arial"/>
                <w:sz w:val="24"/>
                <w:szCs w:val="24"/>
              </w:rPr>
            </w:pPr>
          </w:p>
          <w:p w14:paraId="689EB40C" w14:textId="77777777" w:rsidR="00A75D1A" w:rsidRPr="00A75D1A" w:rsidRDefault="00A75D1A" w:rsidP="00A75D1A">
            <w:pPr>
              <w:pStyle w:val="Default"/>
              <w:rPr>
                <w:i/>
                <w:iCs/>
              </w:rPr>
            </w:pPr>
            <w:r w:rsidRPr="00A75D1A">
              <w:rPr>
                <w:i/>
                <w:iCs/>
              </w:rPr>
              <w:t>‘The CA shall keep the approval of establishments under review when carrying out official controls. If the CA identifies serious deficiencies or has to stop production at an establishment repeatedly and the feed or food business operator is not able to provide adequate guarantees regarding future production, the CA shall initiate procedures to withdraw the establishment’s approval. However, the CA may suspend an establishment’s approval if the feed or food business operator can guarantee that it will resolve deficiencies within a reasonable time’</w:t>
            </w:r>
          </w:p>
          <w:p w14:paraId="392245D6" w14:textId="77777777" w:rsidR="00A75D1A" w:rsidRPr="00A75D1A" w:rsidRDefault="00A75D1A" w:rsidP="00A75D1A">
            <w:pPr>
              <w:pStyle w:val="Default"/>
              <w:rPr>
                <w:i/>
                <w:iCs/>
              </w:rPr>
            </w:pPr>
          </w:p>
          <w:p w14:paraId="2A5AC105" w14:textId="73029C2B" w:rsidR="00A75D1A" w:rsidRDefault="00A75D1A" w:rsidP="00A75D1A">
            <w:pPr>
              <w:pStyle w:val="Default"/>
            </w:pPr>
            <w:r>
              <w:t xml:space="preserve">It would be inappropriate and against its regulatory responsibility for the FSA to permit a serious deficiency it has identified to remain in existence whilst a prosecution is sought. </w:t>
            </w:r>
          </w:p>
          <w:p w14:paraId="4F15BD0A" w14:textId="79DCE56F" w:rsidR="00A75D1A" w:rsidRPr="00A75D1A" w:rsidRDefault="00A75D1A" w:rsidP="00A75D1A">
            <w:pPr>
              <w:pStyle w:val="Default"/>
            </w:pPr>
          </w:p>
        </w:tc>
      </w:tr>
      <w:tr w:rsidR="00A75D1A" w:rsidRPr="00E25967" w14:paraId="0A2AAED9" w14:textId="77777777" w:rsidTr="006E744C">
        <w:tc>
          <w:tcPr>
            <w:tcW w:w="2816" w:type="dxa"/>
            <w:tcBorders>
              <w:top w:val="nil"/>
              <w:bottom w:val="nil"/>
            </w:tcBorders>
          </w:tcPr>
          <w:p w14:paraId="3A72F31E" w14:textId="77777777" w:rsidR="00A75D1A" w:rsidRPr="00E25967" w:rsidRDefault="00A75D1A" w:rsidP="00033F05">
            <w:pPr>
              <w:rPr>
                <w:rFonts w:ascii="Arial" w:hAnsi="Arial" w:cs="Arial"/>
                <w:sz w:val="24"/>
                <w:szCs w:val="24"/>
              </w:rPr>
            </w:pPr>
          </w:p>
        </w:tc>
        <w:tc>
          <w:tcPr>
            <w:tcW w:w="1364" w:type="dxa"/>
            <w:tcBorders>
              <w:top w:val="nil"/>
              <w:bottom w:val="nil"/>
            </w:tcBorders>
          </w:tcPr>
          <w:p w14:paraId="66E59E76" w14:textId="77777777" w:rsidR="00A75D1A" w:rsidRPr="00E25967" w:rsidRDefault="00A75D1A" w:rsidP="00033F05">
            <w:pPr>
              <w:rPr>
                <w:rFonts w:ascii="Arial" w:hAnsi="Arial" w:cs="Arial"/>
                <w:sz w:val="24"/>
                <w:szCs w:val="24"/>
              </w:rPr>
            </w:pPr>
          </w:p>
        </w:tc>
        <w:tc>
          <w:tcPr>
            <w:tcW w:w="4364" w:type="dxa"/>
            <w:vMerge/>
          </w:tcPr>
          <w:p w14:paraId="11FD0989" w14:textId="77777777" w:rsidR="00A75D1A" w:rsidRPr="00E25967" w:rsidRDefault="00A75D1A" w:rsidP="00033F05">
            <w:pPr>
              <w:pStyle w:val="ListParagraph"/>
              <w:spacing w:after="0"/>
              <w:ind w:left="323" w:hanging="323"/>
              <w:rPr>
                <w:szCs w:val="24"/>
              </w:rPr>
            </w:pPr>
          </w:p>
        </w:tc>
        <w:tc>
          <w:tcPr>
            <w:tcW w:w="5404" w:type="dxa"/>
            <w:vMerge/>
          </w:tcPr>
          <w:p w14:paraId="33637921" w14:textId="77777777" w:rsidR="00A75D1A" w:rsidRPr="00E25967" w:rsidRDefault="00A75D1A" w:rsidP="00033F05">
            <w:pPr>
              <w:rPr>
                <w:rFonts w:ascii="Arial" w:hAnsi="Arial" w:cs="Arial"/>
                <w:sz w:val="24"/>
                <w:szCs w:val="24"/>
              </w:rPr>
            </w:pPr>
          </w:p>
        </w:tc>
      </w:tr>
      <w:tr w:rsidR="00A75D1A" w:rsidRPr="00E25967" w14:paraId="30C586BB" w14:textId="77777777" w:rsidTr="006E744C">
        <w:tc>
          <w:tcPr>
            <w:tcW w:w="2816" w:type="dxa"/>
            <w:tcBorders>
              <w:top w:val="nil"/>
              <w:bottom w:val="nil"/>
            </w:tcBorders>
          </w:tcPr>
          <w:p w14:paraId="228275BA" w14:textId="77777777" w:rsidR="00A75D1A" w:rsidRPr="00E25967" w:rsidRDefault="00A75D1A" w:rsidP="00033F05">
            <w:pPr>
              <w:rPr>
                <w:rFonts w:ascii="Arial" w:hAnsi="Arial" w:cs="Arial"/>
                <w:sz w:val="24"/>
                <w:szCs w:val="24"/>
              </w:rPr>
            </w:pPr>
          </w:p>
        </w:tc>
        <w:tc>
          <w:tcPr>
            <w:tcW w:w="1364" w:type="dxa"/>
            <w:tcBorders>
              <w:top w:val="nil"/>
              <w:bottom w:val="nil"/>
            </w:tcBorders>
          </w:tcPr>
          <w:p w14:paraId="01EB3192" w14:textId="77777777" w:rsidR="00A75D1A" w:rsidRPr="00E25967" w:rsidRDefault="00A75D1A" w:rsidP="00033F05">
            <w:pPr>
              <w:rPr>
                <w:rFonts w:ascii="Arial" w:hAnsi="Arial" w:cs="Arial"/>
                <w:sz w:val="24"/>
                <w:szCs w:val="24"/>
              </w:rPr>
            </w:pPr>
          </w:p>
        </w:tc>
        <w:tc>
          <w:tcPr>
            <w:tcW w:w="4364" w:type="dxa"/>
            <w:vMerge/>
          </w:tcPr>
          <w:p w14:paraId="36D96F14" w14:textId="77777777" w:rsidR="00A75D1A" w:rsidRPr="00E25967" w:rsidRDefault="00A75D1A" w:rsidP="00033F05">
            <w:pPr>
              <w:ind w:left="323" w:hanging="323"/>
              <w:rPr>
                <w:rFonts w:ascii="Arial" w:hAnsi="Arial" w:cs="Arial"/>
                <w:sz w:val="24"/>
                <w:szCs w:val="24"/>
              </w:rPr>
            </w:pPr>
          </w:p>
        </w:tc>
        <w:tc>
          <w:tcPr>
            <w:tcW w:w="5404" w:type="dxa"/>
            <w:vMerge/>
          </w:tcPr>
          <w:p w14:paraId="4E871F38" w14:textId="77777777" w:rsidR="00A75D1A" w:rsidRPr="00E25967" w:rsidRDefault="00A75D1A" w:rsidP="00033F05">
            <w:pPr>
              <w:rPr>
                <w:rFonts w:ascii="Arial" w:hAnsi="Arial" w:cs="Arial"/>
                <w:sz w:val="24"/>
                <w:szCs w:val="24"/>
              </w:rPr>
            </w:pPr>
          </w:p>
        </w:tc>
      </w:tr>
      <w:tr w:rsidR="00A75D1A" w:rsidRPr="00E25967" w14:paraId="39946898" w14:textId="77777777" w:rsidTr="00A75D1A">
        <w:tc>
          <w:tcPr>
            <w:tcW w:w="2816" w:type="dxa"/>
            <w:tcBorders>
              <w:top w:val="nil"/>
              <w:bottom w:val="nil"/>
            </w:tcBorders>
          </w:tcPr>
          <w:p w14:paraId="24CE702E" w14:textId="77777777" w:rsidR="00A75D1A" w:rsidRPr="00E25967" w:rsidRDefault="00A75D1A" w:rsidP="00033F05">
            <w:pPr>
              <w:rPr>
                <w:rFonts w:ascii="Arial" w:hAnsi="Arial" w:cs="Arial"/>
                <w:sz w:val="24"/>
                <w:szCs w:val="24"/>
              </w:rPr>
            </w:pPr>
          </w:p>
        </w:tc>
        <w:tc>
          <w:tcPr>
            <w:tcW w:w="1364" w:type="dxa"/>
            <w:tcBorders>
              <w:top w:val="nil"/>
              <w:bottom w:val="nil"/>
            </w:tcBorders>
          </w:tcPr>
          <w:p w14:paraId="1EB249B0" w14:textId="77777777" w:rsidR="00A75D1A" w:rsidRPr="00E25967" w:rsidRDefault="00A75D1A" w:rsidP="00033F05">
            <w:pPr>
              <w:rPr>
                <w:rFonts w:ascii="Arial" w:hAnsi="Arial" w:cs="Arial"/>
                <w:sz w:val="24"/>
                <w:szCs w:val="24"/>
              </w:rPr>
            </w:pPr>
          </w:p>
        </w:tc>
        <w:tc>
          <w:tcPr>
            <w:tcW w:w="4364" w:type="dxa"/>
            <w:vMerge/>
          </w:tcPr>
          <w:p w14:paraId="38C1A886" w14:textId="77777777" w:rsidR="00A75D1A" w:rsidRPr="00E25967" w:rsidRDefault="00A75D1A" w:rsidP="00033F05">
            <w:pPr>
              <w:pStyle w:val="ListParagraph"/>
              <w:spacing w:after="0"/>
              <w:ind w:left="323" w:hanging="323"/>
              <w:rPr>
                <w:szCs w:val="24"/>
              </w:rPr>
            </w:pPr>
          </w:p>
        </w:tc>
        <w:tc>
          <w:tcPr>
            <w:tcW w:w="5404" w:type="dxa"/>
            <w:vMerge/>
          </w:tcPr>
          <w:p w14:paraId="786AF05F" w14:textId="77777777" w:rsidR="00A75D1A" w:rsidRPr="00E25967" w:rsidRDefault="00A75D1A" w:rsidP="00033F05">
            <w:pPr>
              <w:rPr>
                <w:rFonts w:ascii="Arial" w:hAnsi="Arial" w:cs="Arial"/>
                <w:sz w:val="24"/>
                <w:szCs w:val="24"/>
              </w:rPr>
            </w:pPr>
          </w:p>
        </w:tc>
      </w:tr>
      <w:tr w:rsidR="00A75D1A" w:rsidRPr="00E25967" w14:paraId="2D6E62B7" w14:textId="77777777" w:rsidTr="006E744C">
        <w:tc>
          <w:tcPr>
            <w:tcW w:w="2816" w:type="dxa"/>
            <w:tcBorders>
              <w:top w:val="nil"/>
            </w:tcBorders>
          </w:tcPr>
          <w:p w14:paraId="4CBA434F" w14:textId="77777777" w:rsidR="00A75D1A" w:rsidRPr="00E25967" w:rsidRDefault="00A75D1A" w:rsidP="00033F05">
            <w:pPr>
              <w:rPr>
                <w:rFonts w:ascii="Arial" w:hAnsi="Arial" w:cs="Arial"/>
                <w:sz w:val="24"/>
                <w:szCs w:val="24"/>
              </w:rPr>
            </w:pPr>
          </w:p>
        </w:tc>
        <w:tc>
          <w:tcPr>
            <w:tcW w:w="1364" w:type="dxa"/>
            <w:tcBorders>
              <w:top w:val="nil"/>
            </w:tcBorders>
          </w:tcPr>
          <w:p w14:paraId="20B50811" w14:textId="77777777" w:rsidR="00A75D1A" w:rsidRPr="00E25967" w:rsidRDefault="00A75D1A" w:rsidP="00033F05">
            <w:pPr>
              <w:rPr>
                <w:rFonts w:ascii="Arial" w:hAnsi="Arial" w:cs="Arial"/>
                <w:sz w:val="24"/>
                <w:szCs w:val="24"/>
              </w:rPr>
            </w:pPr>
          </w:p>
        </w:tc>
        <w:tc>
          <w:tcPr>
            <w:tcW w:w="4364" w:type="dxa"/>
          </w:tcPr>
          <w:p w14:paraId="5C0329E6" w14:textId="4786F70F" w:rsidR="00A75D1A" w:rsidRPr="00E25967" w:rsidRDefault="00A75D1A" w:rsidP="00033F05">
            <w:pPr>
              <w:pStyle w:val="ListParagraph"/>
              <w:spacing w:after="0"/>
              <w:ind w:left="323" w:hanging="323"/>
              <w:rPr>
                <w:szCs w:val="24"/>
              </w:rPr>
            </w:pPr>
            <w:r w:rsidRPr="00EF710C">
              <w:rPr>
                <w:b/>
                <w:szCs w:val="24"/>
              </w:rPr>
              <w:t>D3</w:t>
            </w:r>
            <w:r>
              <w:rPr>
                <w:szCs w:val="24"/>
              </w:rPr>
              <w:t xml:space="preserve">.If a food business operator is trying to comply with the CCTV requirements but an Official Veterinarian is not satisfied with the CCTV coverage it is unfair for this to potentially result in a withdrawal </w:t>
            </w:r>
            <w:r>
              <w:rPr>
                <w:szCs w:val="24"/>
              </w:rPr>
              <w:lastRenderedPageBreak/>
              <w:t>of approval for what may be a disagreement.</w:t>
            </w:r>
          </w:p>
        </w:tc>
        <w:tc>
          <w:tcPr>
            <w:tcW w:w="5404" w:type="dxa"/>
          </w:tcPr>
          <w:p w14:paraId="6774B088" w14:textId="77777777" w:rsidR="00A75D1A" w:rsidRDefault="00A75D1A" w:rsidP="00033F05">
            <w:pPr>
              <w:rPr>
                <w:rFonts w:ascii="Arial" w:hAnsi="Arial" w:cs="Arial"/>
                <w:sz w:val="24"/>
                <w:szCs w:val="24"/>
              </w:rPr>
            </w:pPr>
            <w:r w:rsidRPr="00EF710C">
              <w:rPr>
                <w:rFonts w:ascii="Arial" w:hAnsi="Arial" w:cs="Arial"/>
                <w:b/>
                <w:sz w:val="24"/>
                <w:szCs w:val="24"/>
              </w:rPr>
              <w:lastRenderedPageBreak/>
              <w:t>D3</w:t>
            </w:r>
            <w:r>
              <w:rPr>
                <w:rFonts w:ascii="Arial" w:hAnsi="Arial" w:cs="Arial"/>
                <w:sz w:val="24"/>
                <w:szCs w:val="24"/>
              </w:rPr>
              <w:t>. An OV is not responsible for making recommendations to withdraw approval. These recommendations are made by Field Veterinary Leaders. If such a recommendation is made the SCS decision maker would need to consider if the non-compliances do</w:t>
            </w:r>
            <w:r w:rsidR="00D50116">
              <w:rPr>
                <w:rFonts w:ascii="Arial" w:hAnsi="Arial" w:cs="Arial"/>
                <w:sz w:val="24"/>
                <w:szCs w:val="24"/>
              </w:rPr>
              <w:t xml:space="preserve">es </w:t>
            </w:r>
            <w:r>
              <w:rPr>
                <w:rFonts w:ascii="Arial" w:hAnsi="Arial" w:cs="Arial"/>
                <w:sz w:val="24"/>
                <w:szCs w:val="24"/>
              </w:rPr>
              <w:t xml:space="preserve">indeed represent a serious deficiency as described in the policy. To </w:t>
            </w:r>
            <w:r>
              <w:rPr>
                <w:rFonts w:ascii="Arial" w:hAnsi="Arial" w:cs="Arial"/>
                <w:sz w:val="24"/>
                <w:szCs w:val="24"/>
              </w:rPr>
              <w:lastRenderedPageBreak/>
              <w:t xml:space="preserve">this end they would need to consider whether withdrawal is proportionate with the level of non-compliance </w:t>
            </w:r>
            <w:r w:rsidR="00D50116">
              <w:rPr>
                <w:rFonts w:ascii="Arial" w:hAnsi="Arial" w:cs="Arial"/>
                <w:sz w:val="24"/>
                <w:szCs w:val="24"/>
              </w:rPr>
              <w:t xml:space="preserve">being identified. </w:t>
            </w:r>
            <w:r>
              <w:rPr>
                <w:rFonts w:ascii="Arial" w:hAnsi="Arial" w:cs="Arial"/>
                <w:sz w:val="24"/>
                <w:szCs w:val="24"/>
              </w:rPr>
              <w:t xml:space="preserve"> </w:t>
            </w:r>
            <w:r w:rsidR="00D50116">
              <w:rPr>
                <w:rFonts w:ascii="Arial" w:hAnsi="Arial" w:cs="Arial"/>
                <w:sz w:val="24"/>
                <w:szCs w:val="24"/>
              </w:rPr>
              <w:t xml:space="preserve">To this end, where the FBO has largely met the requirements, alternative enforcement would likely be more appropriate. However, if a slaughterhouse FBO has not installed CCTV and does not provide adequate guarantees on the timescale they intend to meet this requirement withdrawal of approval would likely be more appropriate than a prosecution. </w:t>
            </w:r>
          </w:p>
          <w:p w14:paraId="16871568" w14:textId="77777777" w:rsidR="00F216B3" w:rsidRDefault="00F216B3" w:rsidP="00033F05">
            <w:pPr>
              <w:rPr>
                <w:rFonts w:ascii="Arial" w:hAnsi="Arial" w:cs="Arial"/>
                <w:sz w:val="24"/>
                <w:szCs w:val="24"/>
              </w:rPr>
            </w:pPr>
          </w:p>
          <w:p w14:paraId="359270AE" w14:textId="5B1BB3A0" w:rsidR="00F216B3" w:rsidRPr="00F216B3" w:rsidRDefault="00F216B3" w:rsidP="00F216B3">
            <w:pPr>
              <w:rPr>
                <w:rFonts w:ascii="Arial" w:hAnsi="Arial" w:cs="Arial"/>
                <w:i/>
                <w:sz w:val="24"/>
                <w:szCs w:val="24"/>
              </w:rPr>
            </w:pPr>
            <w:r>
              <w:rPr>
                <w:rFonts w:ascii="Arial" w:hAnsi="Arial" w:cs="Arial"/>
                <w:sz w:val="24"/>
                <w:szCs w:val="24"/>
              </w:rPr>
              <w:t>The MOC instruction on enforcement of CCTV issues states, ‘</w:t>
            </w:r>
            <w:r w:rsidRPr="00F216B3">
              <w:rPr>
                <w:rFonts w:ascii="Arial" w:hAnsi="Arial" w:cs="Arial"/>
                <w:i/>
                <w:sz w:val="24"/>
                <w:szCs w:val="24"/>
              </w:rPr>
              <w:t>All enforcement action must be proportionate and reasonable. You should encourage the business operator to inform you of any issues or problems with any CCTV equipment and the likely timescale that problems will persist. Verbal advice is likely to be the most relevant action in such circumstances.</w:t>
            </w:r>
          </w:p>
          <w:p w14:paraId="4DF99C9A" w14:textId="67E48CC4" w:rsidR="00F216B3" w:rsidRPr="00F216B3" w:rsidRDefault="00F216B3" w:rsidP="00F216B3">
            <w:pPr>
              <w:rPr>
                <w:rFonts w:ascii="Arial" w:hAnsi="Arial" w:cs="Arial"/>
                <w:i/>
                <w:sz w:val="24"/>
                <w:szCs w:val="24"/>
              </w:rPr>
            </w:pPr>
            <w:r w:rsidRPr="00F216B3">
              <w:rPr>
                <w:rFonts w:ascii="Arial" w:hAnsi="Arial" w:cs="Arial"/>
                <w:i/>
                <w:sz w:val="24"/>
                <w:szCs w:val="24"/>
              </w:rPr>
              <w:t>Formal written enforcement action will be more appropriate where the business operator has failed to comply with the legislation throughout a significant part of the operation</w:t>
            </w:r>
            <w:r>
              <w:rPr>
                <w:rFonts w:ascii="Arial" w:hAnsi="Arial" w:cs="Arial"/>
                <w:i/>
                <w:sz w:val="24"/>
                <w:szCs w:val="24"/>
              </w:rPr>
              <w:t>’</w:t>
            </w:r>
            <w:r w:rsidRPr="00F216B3">
              <w:rPr>
                <w:rFonts w:ascii="Arial" w:hAnsi="Arial" w:cs="Arial"/>
                <w:i/>
                <w:sz w:val="24"/>
                <w:szCs w:val="24"/>
              </w:rPr>
              <w:t xml:space="preserve">. </w:t>
            </w:r>
          </w:p>
          <w:p w14:paraId="006B3F77" w14:textId="22E7E6EA" w:rsidR="00F216B3" w:rsidRPr="00E25967" w:rsidRDefault="00F216B3" w:rsidP="00033F05">
            <w:pPr>
              <w:rPr>
                <w:rFonts w:ascii="Arial" w:hAnsi="Arial" w:cs="Arial"/>
                <w:sz w:val="24"/>
                <w:szCs w:val="24"/>
              </w:rPr>
            </w:pPr>
            <w:r w:rsidRPr="00F216B3">
              <w:rPr>
                <w:rFonts w:ascii="Arial" w:hAnsi="Arial" w:cs="Arial"/>
                <w:sz w:val="24"/>
                <w:szCs w:val="24"/>
              </w:rPr>
              <w:t xml:space="preserve">  </w:t>
            </w:r>
          </w:p>
        </w:tc>
      </w:tr>
    </w:tbl>
    <w:p w14:paraId="301CF67B" w14:textId="0D8655B0" w:rsidR="00481D24" w:rsidRDefault="00481D24">
      <w:r>
        <w:lastRenderedPageBreak/>
        <w:br w:type="page"/>
      </w:r>
    </w:p>
    <w:sectPr w:rsidR="00481D24" w:rsidSect="003E61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DEDD" w14:textId="77777777" w:rsidR="008A2B4C" w:rsidRDefault="008A2B4C" w:rsidP="00233DB9">
      <w:r>
        <w:separator/>
      </w:r>
    </w:p>
  </w:endnote>
  <w:endnote w:type="continuationSeparator" w:id="0">
    <w:p w14:paraId="088484DA" w14:textId="77777777" w:rsidR="008A2B4C" w:rsidRDefault="008A2B4C" w:rsidP="002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7DA8" w14:textId="77777777" w:rsidR="008A2B4C" w:rsidRDefault="008A2B4C" w:rsidP="00233DB9">
      <w:r>
        <w:separator/>
      </w:r>
    </w:p>
  </w:footnote>
  <w:footnote w:type="continuationSeparator" w:id="0">
    <w:p w14:paraId="622CE6B4" w14:textId="77777777" w:rsidR="008A2B4C" w:rsidRDefault="008A2B4C" w:rsidP="0023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FE3"/>
    <w:multiLevelType w:val="hybridMultilevel"/>
    <w:tmpl w:val="4F50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30B57"/>
    <w:multiLevelType w:val="hybridMultilevel"/>
    <w:tmpl w:val="D8A89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79F"/>
    <w:multiLevelType w:val="hybridMultilevel"/>
    <w:tmpl w:val="4E466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D62D1"/>
    <w:multiLevelType w:val="hybridMultilevel"/>
    <w:tmpl w:val="496E62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4C349B"/>
    <w:multiLevelType w:val="hybridMultilevel"/>
    <w:tmpl w:val="B3625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8678B1"/>
    <w:multiLevelType w:val="hybridMultilevel"/>
    <w:tmpl w:val="DE7C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620CB"/>
    <w:multiLevelType w:val="hybridMultilevel"/>
    <w:tmpl w:val="A76A1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CB4F96"/>
    <w:multiLevelType w:val="hybridMultilevel"/>
    <w:tmpl w:val="847645CA"/>
    <w:lvl w:ilvl="0" w:tplc="B6242580">
      <w:start w:val="1"/>
      <w:numFmt w:val="decimal"/>
      <w:lvlText w:val="%1."/>
      <w:lvlJc w:val="left"/>
      <w:pPr>
        <w:ind w:left="36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C0627F"/>
    <w:multiLevelType w:val="hybridMultilevel"/>
    <w:tmpl w:val="7780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64A6A"/>
    <w:multiLevelType w:val="hybridMultilevel"/>
    <w:tmpl w:val="1D20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C437B"/>
    <w:multiLevelType w:val="hybridMultilevel"/>
    <w:tmpl w:val="4F50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12F9D"/>
    <w:multiLevelType w:val="hybridMultilevel"/>
    <w:tmpl w:val="4F503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266B90"/>
    <w:multiLevelType w:val="hybridMultilevel"/>
    <w:tmpl w:val="3FD07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3F18E7"/>
    <w:multiLevelType w:val="hybridMultilevel"/>
    <w:tmpl w:val="3B3A90D4"/>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7D0D2546"/>
    <w:multiLevelType w:val="hybridMultilevel"/>
    <w:tmpl w:val="1A58E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7AE195"/>
    <w:multiLevelType w:val="hybridMultilevel"/>
    <w:tmpl w:val="F850A5CA"/>
    <w:lvl w:ilvl="0" w:tplc="FFFFFFFF">
      <w:start w:val="1"/>
      <w:numFmt w:val="bullet"/>
      <w:lvlText w:val="•"/>
      <w:lvlJc w:val="left"/>
    </w:lvl>
    <w:lvl w:ilvl="1" w:tplc="08090001">
      <w:start w:val="1"/>
      <w:numFmt w:val="bullet"/>
      <w:lvlText w:val=""/>
      <w:lvlJc w:val="left"/>
      <w:rPr>
        <w:rFonts w:ascii="Symbol" w:hAnsi="Symbol" w:hint="default"/>
      </w:rPr>
    </w:lvl>
    <w:lvl w:ilvl="2" w:tplc="08090001">
      <w:start w:val="1"/>
      <w:numFmt w:val="bullet"/>
      <w:lvlText w:val=""/>
      <w:lvlJc w:val="left"/>
      <w:rPr>
        <w:rFonts w:ascii="Symbol" w:hAnsi="Symbol" w:hint="default"/>
      </w:rPr>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7"/>
  </w:num>
  <w:num w:numId="3">
    <w:abstractNumId w:val="13"/>
  </w:num>
  <w:num w:numId="4">
    <w:abstractNumId w:val="2"/>
  </w:num>
  <w:num w:numId="5">
    <w:abstractNumId w:val="6"/>
  </w:num>
  <w:num w:numId="6">
    <w:abstractNumId w:val="4"/>
  </w:num>
  <w:num w:numId="7">
    <w:abstractNumId w:val="5"/>
  </w:num>
  <w:num w:numId="8">
    <w:abstractNumId w:val="12"/>
  </w:num>
  <w:num w:numId="9">
    <w:abstractNumId w:val="10"/>
  </w:num>
  <w:num w:numId="10">
    <w:abstractNumId w:val="0"/>
  </w:num>
  <w:num w:numId="11">
    <w:abstractNumId w:val="11"/>
  </w:num>
  <w:num w:numId="12">
    <w:abstractNumId w:val="15"/>
  </w:num>
  <w:num w:numId="13">
    <w:abstractNumId w:val="9"/>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B9"/>
    <w:rsid w:val="00007669"/>
    <w:rsid w:val="000203BC"/>
    <w:rsid w:val="0002542B"/>
    <w:rsid w:val="00033F05"/>
    <w:rsid w:val="00041A5F"/>
    <w:rsid w:val="0005111A"/>
    <w:rsid w:val="000543C9"/>
    <w:rsid w:val="000620E8"/>
    <w:rsid w:val="000627C7"/>
    <w:rsid w:val="000639A6"/>
    <w:rsid w:val="0007378F"/>
    <w:rsid w:val="00074AF7"/>
    <w:rsid w:val="000779AC"/>
    <w:rsid w:val="000822A7"/>
    <w:rsid w:val="00083D43"/>
    <w:rsid w:val="000914FA"/>
    <w:rsid w:val="00092615"/>
    <w:rsid w:val="0009680F"/>
    <w:rsid w:val="000B5320"/>
    <w:rsid w:val="000B6796"/>
    <w:rsid w:val="000C10BD"/>
    <w:rsid w:val="000C1774"/>
    <w:rsid w:val="000E0D20"/>
    <w:rsid w:val="000E2C01"/>
    <w:rsid w:val="000E76D8"/>
    <w:rsid w:val="000F136D"/>
    <w:rsid w:val="000F3D99"/>
    <w:rsid w:val="00124F22"/>
    <w:rsid w:val="00132B2E"/>
    <w:rsid w:val="00141FE3"/>
    <w:rsid w:val="00193821"/>
    <w:rsid w:val="001A75FC"/>
    <w:rsid w:val="001B30D0"/>
    <w:rsid w:val="001C10AC"/>
    <w:rsid w:val="001D559C"/>
    <w:rsid w:val="001E2E1D"/>
    <w:rsid w:val="001E49E2"/>
    <w:rsid w:val="001E5BB5"/>
    <w:rsid w:val="001E6986"/>
    <w:rsid w:val="00205026"/>
    <w:rsid w:val="002243B1"/>
    <w:rsid w:val="00233DB9"/>
    <w:rsid w:val="002404C7"/>
    <w:rsid w:val="002416D4"/>
    <w:rsid w:val="00250FE2"/>
    <w:rsid w:val="00266D64"/>
    <w:rsid w:val="00283A88"/>
    <w:rsid w:val="00284C8F"/>
    <w:rsid w:val="002974BF"/>
    <w:rsid w:val="00297D7E"/>
    <w:rsid w:val="002A01DD"/>
    <w:rsid w:val="002B47BF"/>
    <w:rsid w:val="002D1925"/>
    <w:rsid w:val="002E3FAA"/>
    <w:rsid w:val="002F6FA2"/>
    <w:rsid w:val="0030544D"/>
    <w:rsid w:val="0032141A"/>
    <w:rsid w:val="0032387B"/>
    <w:rsid w:val="00324121"/>
    <w:rsid w:val="00336102"/>
    <w:rsid w:val="00352CC2"/>
    <w:rsid w:val="00352D72"/>
    <w:rsid w:val="00356C81"/>
    <w:rsid w:val="00371A0E"/>
    <w:rsid w:val="003A53B6"/>
    <w:rsid w:val="003B03CE"/>
    <w:rsid w:val="003D0A53"/>
    <w:rsid w:val="003D18F1"/>
    <w:rsid w:val="003D1AAD"/>
    <w:rsid w:val="003E1C41"/>
    <w:rsid w:val="003E61EE"/>
    <w:rsid w:val="003E646B"/>
    <w:rsid w:val="00401B17"/>
    <w:rsid w:val="00442A66"/>
    <w:rsid w:val="004518EF"/>
    <w:rsid w:val="00453A5B"/>
    <w:rsid w:val="00460491"/>
    <w:rsid w:val="00470F15"/>
    <w:rsid w:val="00481D24"/>
    <w:rsid w:val="004974DE"/>
    <w:rsid w:val="004C79B7"/>
    <w:rsid w:val="004D2DFF"/>
    <w:rsid w:val="004D65EC"/>
    <w:rsid w:val="004E5E09"/>
    <w:rsid w:val="00505EB3"/>
    <w:rsid w:val="005111DA"/>
    <w:rsid w:val="00512103"/>
    <w:rsid w:val="00524D1B"/>
    <w:rsid w:val="005305B5"/>
    <w:rsid w:val="00533495"/>
    <w:rsid w:val="005342B9"/>
    <w:rsid w:val="00536747"/>
    <w:rsid w:val="005439A5"/>
    <w:rsid w:val="005451B8"/>
    <w:rsid w:val="0054642E"/>
    <w:rsid w:val="00560B9A"/>
    <w:rsid w:val="00563F88"/>
    <w:rsid w:val="00571CC1"/>
    <w:rsid w:val="005747B0"/>
    <w:rsid w:val="005754A6"/>
    <w:rsid w:val="0058334E"/>
    <w:rsid w:val="005A0F8F"/>
    <w:rsid w:val="005A2DF5"/>
    <w:rsid w:val="005A4B3F"/>
    <w:rsid w:val="005B76E0"/>
    <w:rsid w:val="005C792F"/>
    <w:rsid w:val="005D0C67"/>
    <w:rsid w:val="005E6618"/>
    <w:rsid w:val="0060567C"/>
    <w:rsid w:val="00612DB5"/>
    <w:rsid w:val="006501EF"/>
    <w:rsid w:val="00650D89"/>
    <w:rsid w:val="006515B4"/>
    <w:rsid w:val="00655900"/>
    <w:rsid w:val="00656673"/>
    <w:rsid w:val="006677C7"/>
    <w:rsid w:val="00672A74"/>
    <w:rsid w:val="0068316F"/>
    <w:rsid w:val="0068582B"/>
    <w:rsid w:val="00692E99"/>
    <w:rsid w:val="006A6DA2"/>
    <w:rsid w:val="006C22B2"/>
    <w:rsid w:val="006D4E84"/>
    <w:rsid w:val="006D7CB8"/>
    <w:rsid w:val="006E7429"/>
    <w:rsid w:val="006E744C"/>
    <w:rsid w:val="006F10AA"/>
    <w:rsid w:val="006F2F4B"/>
    <w:rsid w:val="0070592F"/>
    <w:rsid w:val="00710981"/>
    <w:rsid w:val="00722C73"/>
    <w:rsid w:val="00731638"/>
    <w:rsid w:val="00732C76"/>
    <w:rsid w:val="0076019B"/>
    <w:rsid w:val="00762AC0"/>
    <w:rsid w:val="00762E28"/>
    <w:rsid w:val="007645FA"/>
    <w:rsid w:val="0077319C"/>
    <w:rsid w:val="00782049"/>
    <w:rsid w:val="0079422E"/>
    <w:rsid w:val="007A0137"/>
    <w:rsid w:val="007A1EB4"/>
    <w:rsid w:val="007A229A"/>
    <w:rsid w:val="007A62AD"/>
    <w:rsid w:val="007B01E3"/>
    <w:rsid w:val="007C061C"/>
    <w:rsid w:val="007C0F8A"/>
    <w:rsid w:val="007D642A"/>
    <w:rsid w:val="007E6C40"/>
    <w:rsid w:val="007F0E28"/>
    <w:rsid w:val="00806533"/>
    <w:rsid w:val="0081601F"/>
    <w:rsid w:val="00825FE6"/>
    <w:rsid w:val="00833F23"/>
    <w:rsid w:val="0083439F"/>
    <w:rsid w:val="0083473B"/>
    <w:rsid w:val="00846358"/>
    <w:rsid w:val="008558DF"/>
    <w:rsid w:val="008603E9"/>
    <w:rsid w:val="0087052D"/>
    <w:rsid w:val="00870A4D"/>
    <w:rsid w:val="00883E96"/>
    <w:rsid w:val="0088428C"/>
    <w:rsid w:val="0088796B"/>
    <w:rsid w:val="00890ABA"/>
    <w:rsid w:val="00893F39"/>
    <w:rsid w:val="008A2B4C"/>
    <w:rsid w:val="008B3CA4"/>
    <w:rsid w:val="008B42EC"/>
    <w:rsid w:val="008C18AF"/>
    <w:rsid w:val="008C6E2D"/>
    <w:rsid w:val="008D14A4"/>
    <w:rsid w:val="008E21DC"/>
    <w:rsid w:val="008F5467"/>
    <w:rsid w:val="009130BC"/>
    <w:rsid w:val="00923C13"/>
    <w:rsid w:val="00936E89"/>
    <w:rsid w:val="00946B81"/>
    <w:rsid w:val="0095000F"/>
    <w:rsid w:val="00950176"/>
    <w:rsid w:val="009607E7"/>
    <w:rsid w:val="00966569"/>
    <w:rsid w:val="009817F3"/>
    <w:rsid w:val="00992B82"/>
    <w:rsid w:val="009B3176"/>
    <w:rsid w:val="009D4702"/>
    <w:rsid w:val="009E3671"/>
    <w:rsid w:val="009E529C"/>
    <w:rsid w:val="009E5955"/>
    <w:rsid w:val="009F5E3E"/>
    <w:rsid w:val="009F629F"/>
    <w:rsid w:val="009F7B22"/>
    <w:rsid w:val="00A06317"/>
    <w:rsid w:val="00A10643"/>
    <w:rsid w:val="00A17C2E"/>
    <w:rsid w:val="00A2228A"/>
    <w:rsid w:val="00A27D02"/>
    <w:rsid w:val="00A3022E"/>
    <w:rsid w:val="00A35625"/>
    <w:rsid w:val="00A37EE9"/>
    <w:rsid w:val="00A42A10"/>
    <w:rsid w:val="00A4486D"/>
    <w:rsid w:val="00A75D1A"/>
    <w:rsid w:val="00A767BC"/>
    <w:rsid w:val="00A81173"/>
    <w:rsid w:val="00A84C7B"/>
    <w:rsid w:val="00AB33A9"/>
    <w:rsid w:val="00AB64DE"/>
    <w:rsid w:val="00AC59F0"/>
    <w:rsid w:val="00AE7BBE"/>
    <w:rsid w:val="00AF1E78"/>
    <w:rsid w:val="00AF3CDA"/>
    <w:rsid w:val="00AF4083"/>
    <w:rsid w:val="00B1580F"/>
    <w:rsid w:val="00B1630C"/>
    <w:rsid w:val="00B22F0A"/>
    <w:rsid w:val="00B25B6D"/>
    <w:rsid w:val="00B53C99"/>
    <w:rsid w:val="00B564E2"/>
    <w:rsid w:val="00B61530"/>
    <w:rsid w:val="00B7650D"/>
    <w:rsid w:val="00B84F5D"/>
    <w:rsid w:val="00B8512F"/>
    <w:rsid w:val="00B92057"/>
    <w:rsid w:val="00BB4600"/>
    <w:rsid w:val="00BD1591"/>
    <w:rsid w:val="00BE71BF"/>
    <w:rsid w:val="00BF5B8B"/>
    <w:rsid w:val="00C0164F"/>
    <w:rsid w:val="00C03CFE"/>
    <w:rsid w:val="00C25894"/>
    <w:rsid w:val="00C50D1A"/>
    <w:rsid w:val="00C603B0"/>
    <w:rsid w:val="00C60C3C"/>
    <w:rsid w:val="00C613AE"/>
    <w:rsid w:val="00C8729B"/>
    <w:rsid w:val="00C96875"/>
    <w:rsid w:val="00CA4F8C"/>
    <w:rsid w:val="00CA5001"/>
    <w:rsid w:val="00CB3B2C"/>
    <w:rsid w:val="00CC07B5"/>
    <w:rsid w:val="00CC34C7"/>
    <w:rsid w:val="00CD689E"/>
    <w:rsid w:val="00D048D4"/>
    <w:rsid w:val="00D07D28"/>
    <w:rsid w:val="00D17718"/>
    <w:rsid w:val="00D20CF3"/>
    <w:rsid w:val="00D20DC5"/>
    <w:rsid w:val="00D26EF0"/>
    <w:rsid w:val="00D30E32"/>
    <w:rsid w:val="00D50116"/>
    <w:rsid w:val="00D6364E"/>
    <w:rsid w:val="00D73202"/>
    <w:rsid w:val="00D82238"/>
    <w:rsid w:val="00D86CEA"/>
    <w:rsid w:val="00DA1370"/>
    <w:rsid w:val="00DA505B"/>
    <w:rsid w:val="00DA53F4"/>
    <w:rsid w:val="00DB255F"/>
    <w:rsid w:val="00DC4147"/>
    <w:rsid w:val="00DE66BC"/>
    <w:rsid w:val="00DF38C5"/>
    <w:rsid w:val="00E028CE"/>
    <w:rsid w:val="00E179F4"/>
    <w:rsid w:val="00E23325"/>
    <w:rsid w:val="00E25967"/>
    <w:rsid w:val="00E470FA"/>
    <w:rsid w:val="00EA4999"/>
    <w:rsid w:val="00EB40A3"/>
    <w:rsid w:val="00EB44F2"/>
    <w:rsid w:val="00EC14AD"/>
    <w:rsid w:val="00EC3296"/>
    <w:rsid w:val="00ED1B3A"/>
    <w:rsid w:val="00ED22D4"/>
    <w:rsid w:val="00ED4736"/>
    <w:rsid w:val="00EE75B6"/>
    <w:rsid w:val="00EF710C"/>
    <w:rsid w:val="00F007F1"/>
    <w:rsid w:val="00F1279C"/>
    <w:rsid w:val="00F200E4"/>
    <w:rsid w:val="00F216B3"/>
    <w:rsid w:val="00F2358A"/>
    <w:rsid w:val="00F421A2"/>
    <w:rsid w:val="00F51245"/>
    <w:rsid w:val="00F5333A"/>
    <w:rsid w:val="00F54178"/>
    <w:rsid w:val="00F70524"/>
    <w:rsid w:val="00F71F68"/>
    <w:rsid w:val="00F7575A"/>
    <w:rsid w:val="00F81458"/>
    <w:rsid w:val="00F8518A"/>
    <w:rsid w:val="00F8545E"/>
    <w:rsid w:val="00F87762"/>
    <w:rsid w:val="00FB47F2"/>
    <w:rsid w:val="00FB76B2"/>
    <w:rsid w:val="00FC10F5"/>
    <w:rsid w:val="00FC34D8"/>
    <w:rsid w:val="00FC69AD"/>
    <w:rsid w:val="00FD131E"/>
    <w:rsid w:val="00FE3F59"/>
    <w:rsid w:val="00FF0190"/>
    <w:rsid w:val="00FF35E6"/>
    <w:rsid w:val="00FF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932D"/>
  <w15:docId w15:val="{7A862D95-ABE1-4CEF-8168-238BF8EF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DB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356C81"/>
    <w:pPr>
      <w:keepNext/>
      <w:keepLines/>
      <w:spacing w:before="240" w:line="259" w:lineRule="auto"/>
      <w:outlineLvl w:val="0"/>
    </w:pPr>
    <w:rPr>
      <w:rFonts w:ascii="Arial" w:eastAsiaTheme="majorEastAsia" w:hAnsi="Arial"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356C81"/>
    <w:pPr>
      <w:keepNext/>
      <w:keepLines/>
      <w:spacing w:before="40" w:line="259" w:lineRule="auto"/>
      <w:outlineLvl w:val="1"/>
    </w:pPr>
    <w:rPr>
      <w:rFonts w:ascii="Arial" w:eastAsiaTheme="majorEastAsia" w:hAnsi="Arial"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356C81"/>
    <w:pPr>
      <w:keepNext/>
      <w:keepLines/>
      <w:spacing w:before="40" w:line="259" w:lineRule="auto"/>
      <w:outlineLvl w:val="2"/>
    </w:pPr>
    <w:rPr>
      <w:rFonts w:ascii="Arial" w:eastAsiaTheme="majorEastAsia" w:hAnsi="Arial"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356C81"/>
    <w:pPr>
      <w:keepNext/>
      <w:keepLines/>
      <w:spacing w:before="40" w:line="259" w:lineRule="auto"/>
      <w:outlineLvl w:val="3"/>
    </w:pPr>
    <w:rPr>
      <w:rFonts w:ascii="Arial" w:eastAsiaTheme="majorEastAsia" w:hAnsi="Arial" w:cstheme="majorBidi"/>
      <w:i/>
      <w:iCs/>
      <w:color w:val="2F5496" w:themeColor="accent1" w:themeShade="BF"/>
      <w:sz w:val="24"/>
      <w:szCs w:val="22"/>
      <w:lang w:eastAsia="en-US"/>
    </w:rPr>
  </w:style>
  <w:style w:type="paragraph" w:styleId="Heading5">
    <w:name w:val="heading 5"/>
    <w:basedOn w:val="Normal"/>
    <w:next w:val="Normal"/>
    <w:link w:val="Heading5Char"/>
    <w:uiPriority w:val="9"/>
    <w:semiHidden/>
    <w:unhideWhenUsed/>
    <w:qFormat/>
    <w:rsid w:val="00356C81"/>
    <w:pPr>
      <w:keepNext/>
      <w:keepLines/>
      <w:spacing w:before="40" w:line="259" w:lineRule="auto"/>
      <w:outlineLvl w:val="4"/>
    </w:pPr>
    <w:rPr>
      <w:rFonts w:ascii="Arial" w:eastAsiaTheme="majorEastAsia" w:hAnsi="Arial" w:cstheme="majorBidi"/>
      <w:color w:val="2F5496" w:themeColor="accent1" w:themeShade="BF"/>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contextualSpacing/>
    </w:pPr>
    <w:rPr>
      <w:rFonts w:ascii="Arial" w:eastAsiaTheme="majorEastAsia" w:hAnsi="Arial" w:cstheme="majorBidi"/>
      <w:spacing w:val="-10"/>
      <w:kern w:val="28"/>
      <w:sz w:val="56"/>
      <w:szCs w:val="56"/>
      <w:lang w:eastAsia="en-US"/>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spacing w:after="160" w:line="259" w:lineRule="auto"/>
    </w:pPr>
    <w:rPr>
      <w:rFonts w:ascii="Arial" w:eastAsiaTheme="minorEastAsia" w:hAnsi="Arial" w:cstheme="minorBidi"/>
      <w:color w:val="5A5A5A" w:themeColor="text1" w:themeTint="A5"/>
      <w:spacing w:val="15"/>
      <w:sz w:val="24"/>
      <w:szCs w:val="22"/>
      <w:lang w:eastAsia="en-US"/>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after="160" w:line="259" w:lineRule="auto"/>
      <w:ind w:left="864" w:right="864"/>
      <w:jc w:val="center"/>
    </w:pPr>
    <w:rPr>
      <w:rFonts w:ascii="Arial" w:eastAsiaTheme="minorHAnsi" w:hAnsi="Arial" w:cstheme="minorBidi"/>
      <w:i/>
      <w:iCs/>
      <w:color w:val="404040" w:themeColor="text1" w:themeTint="BF"/>
      <w:sz w:val="24"/>
      <w:szCs w:val="22"/>
      <w:lang w:eastAsia="en-US"/>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line="259" w:lineRule="auto"/>
      <w:ind w:left="864" w:right="864"/>
      <w:jc w:val="center"/>
    </w:pPr>
    <w:rPr>
      <w:rFonts w:ascii="Arial" w:eastAsiaTheme="minorHAnsi" w:hAnsi="Arial" w:cstheme="minorBidi"/>
      <w:i/>
      <w:iCs/>
      <w:color w:val="4472C4" w:themeColor="accent1"/>
      <w:sz w:val="24"/>
      <w:szCs w:val="22"/>
      <w:lang w:eastAsia="en-US"/>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styleId="Header">
    <w:name w:val="header"/>
    <w:basedOn w:val="Normal"/>
    <w:link w:val="HeaderChar"/>
    <w:uiPriority w:val="99"/>
    <w:unhideWhenUsed/>
    <w:rsid w:val="00233DB9"/>
    <w:pPr>
      <w:tabs>
        <w:tab w:val="center" w:pos="4513"/>
        <w:tab w:val="right" w:pos="9026"/>
      </w:tabs>
    </w:pPr>
    <w:rPr>
      <w:rFonts w:ascii="Arial" w:eastAsiaTheme="minorHAnsi" w:hAnsi="Arial" w:cstheme="minorBidi"/>
      <w:sz w:val="24"/>
      <w:szCs w:val="22"/>
      <w:lang w:eastAsia="en-US"/>
    </w:rPr>
  </w:style>
  <w:style w:type="character" w:customStyle="1" w:styleId="HeaderChar">
    <w:name w:val="Header Char"/>
    <w:basedOn w:val="DefaultParagraphFont"/>
    <w:link w:val="Header"/>
    <w:uiPriority w:val="99"/>
    <w:rsid w:val="00233DB9"/>
    <w:rPr>
      <w:rFonts w:ascii="Arial" w:hAnsi="Arial"/>
      <w:sz w:val="24"/>
    </w:rPr>
  </w:style>
  <w:style w:type="paragraph" w:styleId="Footer">
    <w:name w:val="footer"/>
    <w:basedOn w:val="Normal"/>
    <w:link w:val="FooterChar"/>
    <w:uiPriority w:val="99"/>
    <w:unhideWhenUsed/>
    <w:rsid w:val="00233DB9"/>
    <w:pPr>
      <w:tabs>
        <w:tab w:val="center" w:pos="4513"/>
        <w:tab w:val="right" w:pos="9026"/>
      </w:tabs>
    </w:pPr>
    <w:rPr>
      <w:rFonts w:ascii="Arial" w:eastAsiaTheme="minorHAnsi" w:hAnsi="Arial" w:cstheme="minorBidi"/>
      <w:sz w:val="24"/>
      <w:szCs w:val="22"/>
      <w:lang w:eastAsia="en-US"/>
    </w:rPr>
  </w:style>
  <w:style w:type="character" w:customStyle="1" w:styleId="FooterChar">
    <w:name w:val="Footer Char"/>
    <w:basedOn w:val="DefaultParagraphFont"/>
    <w:link w:val="Footer"/>
    <w:uiPriority w:val="99"/>
    <w:rsid w:val="00233DB9"/>
    <w:rPr>
      <w:rFonts w:ascii="Arial" w:hAnsi="Arial"/>
      <w:sz w:val="24"/>
    </w:rPr>
  </w:style>
  <w:style w:type="paragraph" w:customStyle="1" w:styleId="Default">
    <w:name w:val="Default"/>
    <w:rsid w:val="00F81458"/>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rsid w:val="00ED22D4"/>
    <w:pPr>
      <w:jc w:val="both"/>
    </w:pPr>
    <w:rPr>
      <w:rFonts w:ascii="Arial" w:hAnsi="Arial"/>
      <w:b/>
      <w:sz w:val="24"/>
    </w:rPr>
  </w:style>
  <w:style w:type="character" w:customStyle="1" w:styleId="BodyText2Char">
    <w:name w:val="Body Text 2 Char"/>
    <w:basedOn w:val="DefaultParagraphFont"/>
    <w:link w:val="BodyText2"/>
    <w:uiPriority w:val="99"/>
    <w:rsid w:val="00ED22D4"/>
    <w:rPr>
      <w:rFonts w:ascii="Arial" w:eastAsia="Times New Roman" w:hAnsi="Arial" w:cs="Times New Roman"/>
      <w:b/>
      <w:sz w:val="24"/>
      <w:szCs w:val="20"/>
      <w:lang w:eastAsia="en-GB"/>
    </w:rPr>
  </w:style>
  <w:style w:type="paragraph" w:styleId="ListParagraph">
    <w:name w:val="List Paragraph"/>
    <w:basedOn w:val="Normal"/>
    <w:uiPriority w:val="34"/>
    <w:qFormat/>
    <w:rsid w:val="00ED22D4"/>
    <w:pPr>
      <w:spacing w:after="200" w:line="276" w:lineRule="auto"/>
      <w:ind w:left="720"/>
      <w:contextualSpacing/>
    </w:pPr>
    <w:rPr>
      <w:rFonts w:ascii="Arial" w:eastAsia="Calibri" w:hAnsi="Arial" w:cs="Arial"/>
      <w:sz w:val="24"/>
      <w:szCs w:val="22"/>
      <w:lang w:eastAsia="en-US"/>
    </w:rPr>
  </w:style>
  <w:style w:type="paragraph" w:styleId="BodyText">
    <w:name w:val="Body Text"/>
    <w:basedOn w:val="Normal"/>
    <w:link w:val="BodyTextChar"/>
    <w:uiPriority w:val="99"/>
    <w:unhideWhenUsed/>
    <w:rsid w:val="00CC07B5"/>
    <w:pPr>
      <w:spacing w:after="120"/>
    </w:pPr>
  </w:style>
  <w:style w:type="character" w:customStyle="1" w:styleId="BodyTextChar">
    <w:name w:val="Body Text Char"/>
    <w:basedOn w:val="DefaultParagraphFont"/>
    <w:link w:val="BodyText"/>
    <w:uiPriority w:val="99"/>
    <w:rsid w:val="00CC07B5"/>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CC07B5"/>
    <w:pPr>
      <w:spacing w:after="120"/>
      <w:ind w:left="283"/>
    </w:pPr>
  </w:style>
  <w:style w:type="character" w:customStyle="1" w:styleId="BodyTextIndentChar">
    <w:name w:val="Body Text Indent Char"/>
    <w:basedOn w:val="DefaultParagraphFont"/>
    <w:link w:val="BodyTextIndent"/>
    <w:uiPriority w:val="99"/>
    <w:semiHidden/>
    <w:rsid w:val="00CC07B5"/>
    <w:rPr>
      <w:rFonts w:ascii="Times New Roman" w:eastAsia="Times New Roman" w:hAnsi="Times New Roman" w:cs="Times New Roman"/>
      <w:sz w:val="20"/>
      <w:szCs w:val="20"/>
      <w:lang w:eastAsia="en-GB"/>
    </w:rPr>
  </w:style>
  <w:style w:type="paragraph" w:styleId="BodyTextFirstIndent2">
    <w:name w:val="Body Text First Indent 2"/>
    <w:basedOn w:val="BodyTextIndent"/>
    <w:link w:val="BodyTextFirstIndent2Char"/>
    <w:uiPriority w:val="99"/>
    <w:unhideWhenUsed/>
    <w:rsid w:val="00CC07B5"/>
    <w:pPr>
      <w:spacing w:after="0"/>
      <w:ind w:left="360" w:firstLine="360"/>
    </w:pPr>
  </w:style>
  <w:style w:type="character" w:customStyle="1" w:styleId="BodyTextFirstIndent2Char">
    <w:name w:val="Body Text First Indent 2 Char"/>
    <w:basedOn w:val="BodyTextIndentChar"/>
    <w:link w:val="BodyTextFirstIndent2"/>
    <w:uiPriority w:val="99"/>
    <w:rsid w:val="00CC07B5"/>
    <w:rPr>
      <w:rFonts w:ascii="Times New Roman" w:eastAsia="Times New Roman" w:hAnsi="Times New Roman" w:cs="Times New Roman"/>
      <w:sz w:val="20"/>
      <w:szCs w:val="20"/>
      <w:lang w:eastAsia="en-GB"/>
    </w:rPr>
  </w:style>
  <w:style w:type="table" w:styleId="TableGrid">
    <w:name w:val="Table Grid"/>
    <w:basedOn w:val="TableNormal"/>
    <w:uiPriority w:val="39"/>
    <w:rsid w:val="003E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6E89"/>
    <w:rPr>
      <w:rFonts w:ascii="Calibri" w:eastAsiaTheme="minorHAnsi" w:hAnsi="Calibri" w:cs="Calibri"/>
      <w:sz w:val="22"/>
      <w:szCs w:val="22"/>
    </w:rPr>
  </w:style>
  <w:style w:type="character" w:styleId="Hyperlink">
    <w:name w:val="Hyperlink"/>
    <w:basedOn w:val="DefaultParagraphFont"/>
    <w:uiPriority w:val="99"/>
    <w:unhideWhenUsed/>
    <w:rsid w:val="00936E89"/>
    <w:rPr>
      <w:color w:val="0000FF"/>
      <w:u w:val="single"/>
    </w:rPr>
  </w:style>
  <w:style w:type="character" w:styleId="CommentReference">
    <w:name w:val="annotation reference"/>
    <w:basedOn w:val="DefaultParagraphFont"/>
    <w:uiPriority w:val="99"/>
    <w:semiHidden/>
    <w:unhideWhenUsed/>
    <w:rsid w:val="00205026"/>
    <w:rPr>
      <w:sz w:val="16"/>
      <w:szCs w:val="16"/>
    </w:rPr>
  </w:style>
  <w:style w:type="paragraph" w:styleId="CommentText">
    <w:name w:val="annotation text"/>
    <w:basedOn w:val="Normal"/>
    <w:link w:val="CommentTextChar"/>
    <w:uiPriority w:val="99"/>
    <w:semiHidden/>
    <w:unhideWhenUsed/>
    <w:rsid w:val="00205026"/>
  </w:style>
  <w:style w:type="character" w:customStyle="1" w:styleId="CommentTextChar">
    <w:name w:val="Comment Text Char"/>
    <w:basedOn w:val="DefaultParagraphFont"/>
    <w:link w:val="CommentText"/>
    <w:uiPriority w:val="99"/>
    <w:semiHidden/>
    <w:rsid w:val="0020502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5026"/>
    <w:rPr>
      <w:b/>
      <w:bCs/>
    </w:rPr>
  </w:style>
  <w:style w:type="character" w:customStyle="1" w:styleId="CommentSubjectChar">
    <w:name w:val="Comment Subject Char"/>
    <w:basedOn w:val="CommentTextChar"/>
    <w:link w:val="CommentSubject"/>
    <w:uiPriority w:val="99"/>
    <w:semiHidden/>
    <w:rsid w:val="0020502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05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26"/>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B92057"/>
    <w:rPr>
      <w:color w:val="808080"/>
      <w:shd w:val="clear" w:color="auto" w:fill="E6E6E6"/>
    </w:rPr>
  </w:style>
  <w:style w:type="paragraph" w:styleId="Revision">
    <w:name w:val="Revision"/>
    <w:hidden/>
    <w:uiPriority w:val="99"/>
    <w:semiHidden/>
    <w:rsid w:val="000E0D20"/>
    <w:pPr>
      <w:spacing w:after="0" w:line="240" w:lineRule="auto"/>
    </w:pPr>
    <w:rPr>
      <w:rFonts w:ascii="Times New Roman" w:eastAsia="Times New Roman" w:hAnsi="Times New Roman" w:cs="Times New Roman"/>
      <w:sz w:val="20"/>
      <w:szCs w:val="20"/>
      <w:lang w:eastAsia="en-GB"/>
    </w:rPr>
  </w:style>
  <w:style w:type="character" w:customStyle="1" w:styleId="field">
    <w:name w:val="field"/>
    <w:basedOn w:val="DefaultParagraphFont"/>
    <w:rsid w:val="0068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15">
      <w:bodyDiv w:val="1"/>
      <w:marLeft w:val="0"/>
      <w:marRight w:val="0"/>
      <w:marTop w:val="0"/>
      <w:marBottom w:val="0"/>
      <w:divBdr>
        <w:top w:val="none" w:sz="0" w:space="0" w:color="auto"/>
        <w:left w:val="none" w:sz="0" w:space="0" w:color="auto"/>
        <w:bottom w:val="none" w:sz="0" w:space="0" w:color="auto"/>
        <w:right w:val="none" w:sz="0" w:space="0" w:color="auto"/>
      </w:divBdr>
    </w:div>
    <w:div w:id="90664278">
      <w:bodyDiv w:val="1"/>
      <w:marLeft w:val="0"/>
      <w:marRight w:val="0"/>
      <w:marTop w:val="0"/>
      <w:marBottom w:val="0"/>
      <w:divBdr>
        <w:top w:val="none" w:sz="0" w:space="0" w:color="auto"/>
        <w:left w:val="none" w:sz="0" w:space="0" w:color="auto"/>
        <w:bottom w:val="none" w:sz="0" w:space="0" w:color="auto"/>
        <w:right w:val="none" w:sz="0" w:space="0" w:color="auto"/>
      </w:divBdr>
    </w:div>
    <w:div w:id="147988264">
      <w:bodyDiv w:val="1"/>
      <w:marLeft w:val="0"/>
      <w:marRight w:val="0"/>
      <w:marTop w:val="0"/>
      <w:marBottom w:val="0"/>
      <w:divBdr>
        <w:top w:val="none" w:sz="0" w:space="0" w:color="auto"/>
        <w:left w:val="none" w:sz="0" w:space="0" w:color="auto"/>
        <w:bottom w:val="none" w:sz="0" w:space="0" w:color="auto"/>
        <w:right w:val="none" w:sz="0" w:space="0" w:color="auto"/>
      </w:divBdr>
    </w:div>
    <w:div w:id="192965682">
      <w:bodyDiv w:val="1"/>
      <w:marLeft w:val="0"/>
      <w:marRight w:val="0"/>
      <w:marTop w:val="0"/>
      <w:marBottom w:val="0"/>
      <w:divBdr>
        <w:top w:val="none" w:sz="0" w:space="0" w:color="auto"/>
        <w:left w:val="none" w:sz="0" w:space="0" w:color="auto"/>
        <w:bottom w:val="none" w:sz="0" w:space="0" w:color="auto"/>
        <w:right w:val="none" w:sz="0" w:space="0" w:color="auto"/>
      </w:divBdr>
    </w:div>
    <w:div w:id="257955698">
      <w:bodyDiv w:val="1"/>
      <w:marLeft w:val="0"/>
      <w:marRight w:val="0"/>
      <w:marTop w:val="0"/>
      <w:marBottom w:val="0"/>
      <w:divBdr>
        <w:top w:val="none" w:sz="0" w:space="0" w:color="auto"/>
        <w:left w:val="none" w:sz="0" w:space="0" w:color="auto"/>
        <w:bottom w:val="none" w:sz="0" w:space="0" w:color="auto"/>
        <w:right w:val="none" w:sz="0" w:space="0" w:color="auto"/>
      </w:divBdr>
    </w:div>
    <w:div w:id="274673949">
      <w:bodyDiv w:val="1"/>
      <w:marLeft w:val="0"/>
      <w:marRight w:val="0"/>
      <w:marTop w:val="0"/>
      <w:marBottom w:val="0"/>
      <w:divBdr>
        <w:top w:val="none" w:sz="0" w:space="0" w:color="auto"/>
        <w:left w:val="none" w:sz="0" w:space="0" w:color="auto"/>
        <w:bottom w:val="none" w:sz="0" w:space="0" w:color="auto"/>
        <w:right w:val="none" w:sz="0" w:space="0" w:color="auto"/>
      </w:divBdr>
    </w:div>
    <w:div w:id="392503305">
      <w:bodyDiv w:val="1"/>
      <w:marLeft w:val="0"/>
      <w:marRight w:val="0"/>
      <w:marTop w:val="0"/>
      <w:marBottom w:val="0"/>
      <w:divBdr>
        <w:top w:val="none" w:sz="0" w:space="0" w:color="auto"/>
        <w:left w:val="none" w:sz="0" w:space="0" w:color="auto"/>
        <w:bottom w:val="none" w:sz="0" w:space="0" w:color="auto"/>
        <w:right w:val="none" w:sz="0" w:space="0" w:color="auto"/>
      </w:divBdr>
    </w:div>
    <w:div w:id="477647070">
      <w:bodyDiv w:val="1"/>
      <w:marLeft w:val="0"/>
      <w:marRight w:val="0"/>
      <w:marTop w:val="0"/>
      <w:marBottom w:val="0"/>
      <w:divBdr>
        <w:top w:val="none" w:sz="0" w:space="0" w:color="auto"/>
        <w:left w:val="none" w:sz="0" w:space="0" w:color="auto"/>
        <w:bottom w:val="none" w:sz="0" w:space="0" w:color="auto"/>
        <w:right w:val="none" w:sz="0" w:space="0" w:color="auto"/>
      </w:divBdr>
    </w:div>
    <w:div w:id="548880678">
      <w:bodyDiv w:val="1"/>
      <w:marLeft w:val="0"/>
      <w:marRight w:val="0"/>
      <w:marTop w:val="0"/>
      <w:marBottom w:val="0"/>
      <w:divBdr>
        <w:top w:val="none" w:sz="0" w:space="0" w:color="auto"/>
        <w:left w:val="none" w:sz="0" w:space="0" w:color="auto"/>
        <w:bottom w:val="none" w:sz="0" w:space="0" w:color="auto"/>
        <w:right w:val="none" w:sz="0" w:space="0" w:color="auto"/>
      </w:divBdr>
    </w:div>
    <w:div w:id="576863736">
      <w:bodyDiv w:val="1"/>
      <w:marLeft w:val="0"/>
      <w:marRight w:val="0"/>
      <w:marTop w:val="0"/>
      <w:marBottom w:val="0"/>
      <w:divBdr>
        <w:top w:val="none" w:sz="0" w:space="0" w:color="auto"/>
        <w:left w:val="none" w:sz="0" w:space="0" w:color="auto"/>
        <w:bottom w:val="none" w:sz="0" w:space="0" w:color="auto"/>
        <w:right w:val="none" w:sz="0" w:space="0" w:color="auto"/>
      </w:divBdr>
    </w:div>
    <w:div w:id="584191803">
      <w:bodyDiv w:val="1"/>
      <w:marLeft w:val="0"/>
      <w:marRight w:val="0"/>
      <w:marTop w:val="0"/>
      <w:marBottom w:val="0"/>
      <w:divBdr>
        <w:top w:val="none" w:sz="0" w:space="0" w:color="auto"/>
        <w:left w:val="none" w:sz="0" w:space="0" w:color="auto"/>
        <w:bottom w:val="none" w:sz="0" w:space="0" w:color="auto"/>
        <w:right w:val="none" w:sz="0" w:space="0" w:color="auto"/>
      </w:divBdr>
    </w:div>
    <w:div w:id="632255992">
      <w:bodyDiv w:val="1"/>
      <w:marLeft w:val="0"/>
      <w:marRight w:val="0"/>
      <w:marTop w:val="0"/>
      <w:marBottom w:val="0"/>
      <w:divBdr>
        <w:top w:val="none" w:sz="0" w:space="0" w:color="auto"/>
        <w:left w:val="none" w:sz="0" w:space="0" w:color="auto"/>
        <w:bottom w:val="none" w:sz="0" w:space="0" w:color="auto"/>
        <w:right w:val="none" w:sz="0" w:space="0" w:color="auto"/>
      </w:divBdr>
    </w:div>
    <w:div w:id="741682587">
      <w:bodyDiv w:val="1"/>
      <w:marLeft w:val="0"/>
      <w:marRight w:val="0"/>
      <w:marTop w:val="0"/>
      <w:marBottom w:val="0"/>
      <w:divBdr>
        <w:top w:val="none" w:sz="0" w:space="0" w:color="auto"/>
        <w:left w:val="none" w:sz="0" w:space="0" w:color="auto"/>
        <w:bottom w:val="none" w:sz="0" w:space="0" w:color="auto"/>
        <w:right w:val="none" w:sz="0" w:space="0" w:color="auto"/>
      </w:divBdr>
    </w:div>
    <w:div w:id="768501477">
      <w:bodyDiv w:val="1"/>
      <w:marLeft w:val="0"/>
      <w:marRight w:val="0"/>
      <w:marTop w:val="0"/>
      <w:marBottom w:val="0"/>
      <w:divBdr>
        <w:top w:val="none" w:sz="0" w:space="0" w:color="auto"/>
        <w:left w:val="none" w:sz="0" w:space="0" w:color="auto"/>
        <w:bottom w:val="none" w:sz="0" w:space="0" w:color="auto"/>
        <w:right w:val="none" w:sz="0" w:space="0" w:color="auto"/>
      </w:divBdr>
    </w:div>
    <w:div w:id="863633737">
      <w:bodyDiv w:val="1"/>
      <w:marLeft w:val="0"/>
      <w:marRight w:val="0"/>
      <w:marTop w:val="0"/>
      <w:marBottom w:val="0"/>
      <w:divBdr>
        <w:top w:val="none" w:sz="0" w:space="0" w:color="auto"/>
        <w:left w:val="none" w:sz="0" w:space="0" w:color="auto"/>
        <w:bottom w:val="none" w:sz="0" w:space="0" w:color="auto"/>
        <w:right w:val="none" w:sz="0" w:space="0" w:color="auto"/>
      </w:divBdr>
    </w:div>
    <w:div w:id="1054698402">
      <w:bodyDiv w:val="1"/>
      <w:marLeft w:val="0"/>
      <w:marRight w:val="0"/>
      <w:marTop w:val="0"/>
      <w:marBottom w:val="0"/>
      <w:divBdr>
        <w:top w:val="none" w:sz="0" w:space="0" w:color="auto"/>
        <w:left w:val="none" w:sz="0" w:space="0" w:color="auto"/>
        <w:bottom w:val="none" w:sz="0" w:space="0" w:color="auto"/>
        <w:right w:val="none" w:sz="0" w:space="0" w:color="auto"/>
      </w:divBdr>
    </w:div>
    <w:div w:id="1112941030">
      <w:bodyDiv w:val="1"/>
      <w:marLeft w:val="0"/>
      <w:marRight w:val="0"/>
      <w:marTop w:val="0"/>
      <w:marBottom w:val="0"/>
      <w:divBdr>
        <w:top w:val="none" w:sz="0" w:space="0" w:color="auto"/>
        <w:left w:val="none" w:sz="0" w:space="0" w:color="auto"/>
        <w:bottom w:val="none" w:sz="0" w:space="0" w:color="auto"/>
        <w:right w:val="none" w:sz="0" w:space="0" w:color="auto"/>
      </w:divBdr>
    </w:div>
    <w:div w:id="1340346606">
      <w:bodyDiv w:val="1"/>
      <w:marLeft w:val="0"/>
      <w:marRight w:val="0"/>
      <w:marTop w:val="0"/>
      <w:marBottom w:val="0"/>
      <w:divBdr>
        <w:top w:val="none" w:sz="0" w:space="0" w:color="auto"/>
        <w:left w:val="none" w:sz="0" w:space="0" w:color="auto"/>
        <w:bottom w:val="none" w:sz="0" w:space="0" w:color="auto"/>
        <w:right w:val="none" w:sz="0" w:space="0" w:color="auto"/>
      </w:divBdr>
    </w:div>
    <w:div w:id="1512835160">
      <w:bodyDiv w:val="1"/>
      <w:marLeft w:val="0"/>
      <w:marRight w:val="0"/>
      <w:marTop w:val="0"/>
      <w:marBottom w:val="0"/>
      <w:divBdr>
        <w:top w:val="none" w:sz="0" w:space="0" w:color="auto"/>
        <w:left w:val="none" w:sz="0" w:space="0" w:color="auto"/>
        <w:bottom w:val="none" w:sz="0" w:space="0" w:color="auto"/>
        <w:right w:val="none" w:sz="0" w:space="0" w:color="auto"/>
      </w:divBdr>
    </w:div>
    <w:div w:id="1537280781">
      <w:bodyDiv w:val="1"/>
      <w:marLeft w:val="0"/>
      <w:marRight w:val="0"/>
      <w:marTop w:val="0"/>
      <w:marBottom w:val="0"/>
      <w:divBdr>
        <w:top w:val="none" w:sz="0" w:space="0" w:color="auto"/>
        <w:left w:val="none" w:sz="0" w:space="0" w:color="auto"/>
        <w:bottom w:val="none" w:sz="0" w:space="0" w:color="auto"/>
        <w:right w:val="none" w:sz="0" w:space="0" w:color="auto"/>
      </w:divBdr>
    </w:div>
    <w:div w:id="1569068493">
      <w:bodyDiv w:val="1"/>
      <w:marLeft w:val="0"/>
      <w:marRight w:val="0"/>
      <w:marTop w:val="0"/>
      <w:marBottom w:val="0"/>
      <w:divBdr>
        <w:top w:val="none" w:sz="0" w:space="0" w:color="auto"/>
        <w:left w:val="none" w:sz="0" w:space="0" w:color="auto"/>
        <w:bottom w:val="none" w:sz="0" w:space="0" w:color="auto"/>
        <w:right w:val="none" w:sz="0" w:space="0" w:color="auto"/>
      </w:divBdr>
    </w:div>
    <w:div w:id="1751271589">
      <w:bodyDiv w:val="1"/>
      <w:marLeft w:val="0"/>
      <w:marRight w:val="0"/>
      <w:marTop w:val="0"/>
      <w:marBottom w:val="0"/>
      <w:divBdr>
        <w:top w:val="none" w:sz="0" w:space="0" w:color="auto"/>
        <w:left w:val="none" w:sz="0" w:space="0" w:color="auto"/>
        <w:bottom w:val="none" w:sz="0" w:space="0" w:color="auto"/>
        <w:right w:val="none" w:sz="0" w:space="0" w:color="auto"/>
      </w:divBdr>
    </w:div>
    <w:div w:id="1853567481">
      <w:bodyDiv w:val="1"/>
      <w:marLeft w:val="0"/>
      <w:marRight w:val="0"/>
      <w:marTop w:val="0"/>
      <w:marBottom w:val="0"/>
      <w:divBdr>
        <w:top w:val="none" w:sz="0" w:space="0" w:color="auto"/>
        <w:left w:val="none" w:sz="0" w:space="0" w:color="auto"/>
        <w:bottom w:val="none" w:sz="0" w:space="0" w:color="auto"/>
        <w:right w:val="none" w:sz="0" w:space="0" w:color="auto"/>
      </w:divBdr>
    </w:div>
    <w:div w:id="1938100876">
      <w:bodyDiv w:val="1"/>
      <w:marLeft w:val="0"/>
      <w:marRight w:val="0"/>
      <w:marTop w:val="0"/>
      <w:marBottom w:val="0"/>
      <w:divBdr>
        <w:top w:val="none" w:sz="0" w:space="0" w:color="auto"/>
        <w:left w:val="none" w:sz="0" w:space="0" w:color="auto"/>
        <w:bottom w:val="none" w:sz="0" w:space="0" w:color="auto"/>
        <w:right w:val="none" w:sz="0" w:space="0" w:color="auto"/>
      </w:divBdr>
    </w:div>
    <w:div w:id="19459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6FC7-AB16-43C0-BA93-0B398C50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4539</Words>
  <Characters>25874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Summary Report of consultation responses - September 2018</vt:lpstr>
    </vt:vector>
  </TitlesOfParts>
  <Company>Scottish Government</Company>
  <LinksUpToDate>false</LinksUpToDate>
  <CharactersWithSpaces>30353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Summary Report of consultation responses - October 2018</dc:title>
  <dc:creator>Safdar, Henna</dc:creator>
  <lastModifiedBy>Daniel Smith</lastModifiedBy>
  <revision>2</revision>
  <dcterms:created xsi:type="dcterms:W3CDTF">2018-10-29T11:05:00.0000000Z</dcterms:created>
  <dcterms:modified xsi:type="dcterms:W3CDTF">2018-10-29T11:05:00.0000000Z</dcterms:modified>
</coreProperties>
</file>